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B22BB" w14:textId="77777777" w:rsidR="00B914AB" w:rsidRDefault="009A3107" w:rsidP="00B914AB">
      <w:pPr>
        <w:keepNext/>
        <w:spacing w:after="200"/>
        <w:jc w:val="left"/>
      </w:pPr>
      <w:r>
        <w:rPr>
          <w:noProof/>
          <w:lang w:eastAsia="fr-FR"/>
        </w:rPr>
        <w:drawing>
          <wp:inline distT="0" distB="0" distL="0" distR="0" wp14:anchorId="2C9147A5" wp14:editId="5C766273">
            <wp:extent cx="5759450" cy="1429385"/>
            <wp:effectExtent l="0" t="0" r="0" b="0"/>
            <wp:docPr id="3" name="Image 3" descr="N:\MAE\COMMUNICATION\05_Logos_chartes_illustrations\Charte graphique\__Charte_1420\Utiles\bandeaux\Declinaison gorupe de travail\Bandeau_bleu_regl_ges_control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AE\COMMUNICATION\05_Logos_chartes_illustrations\Charte graphique\__Charte_1420\Utiles\bandeaux\Declinaison gorupe de travail\Bandeau_bleu_regl_ges_controle-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146"/>
                    <a:stretch/>
                  </pic:blipFill>
                  <pic:spPr bwMode="auto">
                    <a:xfrm>
                      <a:off x="0" y="0"/>
                      <a:ext cx="5759450" cy="1429385"/>
                    </a:xfrm>
                    <a:prstGeom prst="rect">
                      <a:avLst/>
                    </a:prstGeom>
                    <a:noFill/>
                    <a:ln>
                      <a:noFill/>
                    </a:ln>
                    <a:extLst>
                      <a:ext uri="{53640926-AAD7-44D8-BBD7-CCE9431645EC}">
                        <a14:shadowObscured xmlns:a14="http://schemas.microsoft.com/office/drawing/2010/main"/>
                      </a:ext>
                    </a:extLst>
                  </pic:spPr>
                </pic:pic>
              </a:graphicData>
            </a:graphic>
          </wp:inline>
        </w:drawing>
      </w:r>
    </w:p>
    <w:p w14:paraId="023015D0" w14:textId="5E8CDA6D" w:rsidR="00BC06CD" w:rsidRDefault="00A64752" w:rsidP="00B914AB">
      <w:pPr>
        <w:pStyle w:val="Lgende"/>
        <w:jc w:val="left"/>
      </w:pPr>
      <w:bookmarkStart w:id="0" w:name="_Hlk42901451"/>
      <w:r>
        <w:t xml:space="preserve">Version </w:t>
      </w:r>
      <w:r w:rsidR="0060281D">
        <w:t xml:space="preserve">: </w:t>
      </w:r>
      <w:r w:rsidR="00602AC9">
        <w:t>Juin</w:t>
      </w:r>
      <w:r w:rsidR="004F081C">
        <w:t xml:space="preserve"> 2020</w:t>
      </w:r>
    </w:p>
    <w:p w14:paraId="09C170AE" w14:textId="59D93209" w:rsidR="00B51EC9" w:rsidRPr="00DD10EB" w:rsidRDefault="00AD7973" w:rsidP="00DD10EB">
      <w:pPr>
        <w:pStyle w:val="Titre"/>
        <w:rPr>
          <w:color w:val="00B0F0"/>
        </w:rPr>
      </w:pPr>
      <w:bookmarkStart w:id="1" w:name="_GoBack"/>
      <w:r>
        <w:rPr>
          <w:color w:val="00B0F0"/>
        </w:rPr>
        <w:t xml:space="preserve">Fiche </w:t>
      </w:r>
      <w:r w:rsidR="00230038">
        <w:rPr>
          <w:color w:val="00B0F0"/>
        </w:rPr>
        <w:t>Marchés publics</w:t>
      </w:r>
      <w:r w:rsidR="00602AC9">
        <w:rPr>
          <w:color w:val="00B0F0"/>
        </w:rPr>
        <w:t xml:space="preserve"> </w:t>
      </w:r>
      <w:bookmarkEnd w:id="1"/>
      <w:r w:rsidR="00602AC9">
        <w:rPr>
          <w:color w:val="00B0F0"/>
        </w:rPr>
        <w:t>– Notice explicative à l’annexe Commande publique</w:t>
      </w:r>
    </w:p>
    <w:p w14:paraId="5D0C8BD1" w14:textId="77777777" w:rsidR="000163FC" w:rsidRDefault="000163FC" w:rsidP="000163FC">
      <w:pPr>
        <w:spacing w:after="200"/>
        <w:rPr>
          <w:i/>
        </w:rPr>
      </w:pPr>
      <w:r>
        <w:rPr>
          <w:i/>
        </w:rPr>
        <w:t>Ce document a été élaboré dans le cadre du groupe de travail « réglementation, gestion, contrôle » animé par le CGET et associant les différents acteurs en charge des programmes (CICC, DGFIP, administrations centrales concernées, Régions de France, représentants d’autorité de gestion).</w:t>
      </w:r>
    </w:p>
    <w:p w14:paraId="455CC222" w14:textId="77777777" w:rsidR="000163FC" w:rsidRDefault="000163FC" w:rsidP="000163FC">
      <w:pPr>
        <w:spacing w:after="200"/>
        <w:rPr>
          <w:i/>
        </w:rPr>
      </w:pPr>
      <w:r>
        <w:rPr>
          <w:i/>
        </w:rPr>
        <w:t>Les éléments fournis correspondent aux échanges qui se sont tenus avec les membres du groupe de travail. Le contenu résulte de l’interprétation de la base réglementaire relative aux FESI</w:t>
      </w:r>
      <w:r w:rsidR="00463C11">
        <w:rPr>
          <w:i/>
        </w:rPr>
        <w:t xml:space="preserve"> et à la commande publique</w:t>
      </w:r>
      <w:r>
        <w:rPr>
          <w:i/>
        </w:rPr>
        <w:t xml:space="preserve"> et n’a pas été systématiquement validé par la Commission européenne. En cela, cette fiche ne préjuge en rien d’une validation ou d’une opinion différente qui pourrait être apportée par la suite par la Commission européenne ou d’autres corps de contrôle. </w:t>
      </w:r>
    </w:p>
    <w:p w14:paraId="12906E84" w14:textId="77777777" w:rsidR="00486DDF" w:rsidRDefault="000163FC" w:rsidP="000163FC">
      <w:pPr>
        <w:spacing w:after="200"/>
        <w:rPr>
          <w:i/>
        </w:rPr>
      </w:pPr>
      <w:r>
        <w:rPr>
          <w:i/>
        </w:rPr>
        <w:t>Ce document a vocation à être amendé au cours de la programmation 2014-2020 afin de tenir compte des textes en cours de finalisation ou à paraître (notes d’orientation de la Commission) mais aussi des retours d’expériences sur la mise en œuvre des FESI.</w:t>
      </w:r>
    </w:p>
    <w:p w14:paraId="49EC8177" w14:textId="77777777" w:rsidR="00486DDF" w:rsidRPr="000163FC" w:rsidRDefault="00486DDF" w:rsidP="000163FC">
      <w:pPr>
        <w:spacing w:after="200"/>
        <w:rPr>
          <w:i/>
        </w:rPr>
      </w:pPr>
      <w:r>
        <w:rPr>
          <w:i/>
        </w:rPr>
        <w:t>L</w:t>
      </w:r>
      <w:r w:rsidRPr="00486DDF">
        <w:rPr>
          <w:i/>
        </w:rPr>
        <w:t xml:space="preserve">es informations contenues </w:t>
      </w:r>
      <w:r>
        <w:rPr>
          <w:i/>
        </w:rPr>
        <w:t xml:space="preserve">dans cette fiche </w:t>
      </w:r>
      <w:r w:rsidR="00AD7973">
        <w:rPr>
          <w:i/>
        </w:rPr>
        <w:t>sont</w:t>
      </w:r>
      <w:r>
        <w:rPr>
          <w:i/>
        </w:rPr>
        <w:t xml:space="preserve"> </w:t>
      </w:r>
      <w:r w:rsidR="00CD717A">
        <w:rPr>
          <w:i/>
        </w:rPr>
        <w:t>un appui relatif</w:t>
      </w:r>
      <w:r>
        <w:rPr>
          <w:i/>
        </w:rPr>
        <w:t xml:space="preserve"> au contrôle lors d’un marché public passé dans le cadre d’une opération cofinancé par les FESI, charge à chaque </w:t>
      </w:r>
      <w:r w:rsidR="00C76512">
        <w:rPr>
          <w:i/>
        </w:rPr>
        <w:t>autorité</w:t>
      </w:r>
      <w:r>
        <w:rPr>
          <w:i/>
        </w:rPr>
        <w:t xml:space="preserve"> de gestion</w:t>
      </w:r>
      <w:r w:rsidRPr="00486DDF">
        <w:rPr>
          <w:i/>
        </w:rPr>
        <w:t xml:space="preserve"> de développer les règles de gestion qui lui semblent </w:t>
      </w:r>
      <w:r>
        <w:rPr>
          <w:i/>
        </w:rPr>
        <w:t xml:space="preserve">les plus </w:t>
      </w:r>
      <w:r w:rsidRPr="00486DDF">
        <w:rPr>
          <w:i/>
        </w:rPr>
        <w:t>adaptées</w:t>
      </w:r>
      <w:r w:rsidR="00AD7973">
        <w:rPr>
          <w:i/>
        </w:rPr>
        <w:t xml:space="preserve"> en fonction de s</w:t>
      </w:r>
      <w:r>
        <w:rPr>
          <w:i/>
        </w:rPr>
        <w:t>es procédures internes d’achat et de son programme opérationnel</w:t>
      </w:r>
      <w:r w:rsidRPr="00486DDF">
        <w:rPr>
          <w:i/>
        </w:rPr>
        <w:t>.</w:t>
      </w:r>
    </w:p>
    <w:p w14:paraId="112F7EF6" w14:textId="77777777" w:rsidR="002A50EC" w:rsidRDefault="00230038" w:rsidP="002A50EC">
      <w:pPr>
        <w:pStyle w:val="Titre1"/>
        <w:numPr>
          <w:ilvl w:val="0"/>
          <w:numId w:val="1"/>
        </w:numPr>
        <w:ind w:left="426"/>
      </w:pPr>
      <w:r>
        <w:t>Avant-propos</w:t>
      </w:r>
    </w:p>
    <w:p w14:paraId="662656D7" w14:textId="77777777" w:rsidR="002A50EC" w:rsidRDefault="002A50EC" w:rsidP="002A50EC">
      <w:pPr>
        <w:pStyle w:val="Paragraphedeliste"/>
        <w:spacing w:after="200" w:line="276" w:lineRule="auto"/>
        <w:rPr>
          <w:rFonts w:eastAsiaTheme="minorHAnsi" w:cstheme="minorBidi"/>
          <w:szCs w:val="22"/>
          <w:lang w:eastAsia="en-US"/>
        </w:rPr>
      </w:pPr>
    </w:p>
    <w:p w14:paraId="67DE6E23" w14:textId="77777777" w:rsidR="00230038" w:rsidRPr="00230038" w:rsidRDefault="00230038" w:rsidP="00230038">
      <w:pPr>
        <w:pStyle w:val="Paragraphedeliste"/>
        <w:spacing w:after="200"/>
        <w:ind w:left="86"/>
        <w:jc w:val="both"/>
        <w:rPr>
          <w:rFonts w:eastAsiaTheme="minorHAnsi" w:cstheme="minorBidi"/>
          <w:szCs w:val="22"/>
          <w:lang w:eastAsia="en-US"/>
        </w:rPr>
      </w:pPr>
      <w:r w:rsidRPr="00230038">
        <w:rPr>
          <w:rFonts w:eastAsiaTheme="minorHAnsi" w:cstheme="minorBidi"/>
          <w:szCs w:val="22"/>
          <w:lang w:eastAsia="en-US"/>
        </w:rPr>
        <w:t xml:space="preserve">Chaque projet cofinancé par les FESI doit respecter la règlementation européenne et nationale en vigueur. Ainsi, les projets cofinancés par voie de marchés publics doivent être conforme aux règles </w:t>
      </w:r>
      <w:r w:rsidR="00360772">
        <w:rPr>
          <w:rFonts w:eastAsiaTheme="minorHAnsi" w:cstheme="minorBidi"/>
          <w:szCs w:val="22"/>
          <w:lang w:eastAsia="en-US"/>
        </w:rPr>
        <w:t>applicables de la</w:t>
      </w:r>
      <w:r w:rsidRPr="00230038">
        <w:rPr>
          <w:rFonts w:eastAsiaTheme="minorHAnsi" w:cstheme="minorBidi"/>
          <w:szCs w:val="22"/>
          <w:lang w:eastAsia="en-US"/>
        </w:rPr>
        <w:t xml:space="preserve"> législation </w:t>
      </w:r>
      <w:r w:rsidR="00360772">
        <w:rPr>
          <w:rFonts w:eastAsiaTheme="minorHAnsi" w:cstheme="minorBidi"/>
          <w:szCs w:val="22"/>
          <w:lang w:eastAsia="en-US"/>
        </w:rPr>
        <w:t>de l’Union européenne</w:t>
      </w:r>
      <w:r w:rsidR="00360772">
        <w:rPr>
          <w:rStyle w:val="Appelnotedebasdep"/>
          <w:rFonts w:eastAsiaTheme="minorHAnsi" w:cstheme="minorBidi"/>
          <w:szCs w:val="22"/>
          <w:lang w:eastAsia="en-US"/>
        </w:rPr>
        <w:footnoteReference w:id="1"/>
      </w:r>
      <w:r w:rsidR="00360772">
        <w:rPr>
          <w:rFonts w:eastAsiaTheme="minorHAnsi" w:cstheme="minorBidi"/>
          <w:szCs w:val="22"/>
          <w:lang w:eastAsia="en-US"/>
        </w:rPr>
        <w:t xml:space="preserve"> et du</w:t>
      </w:r>
      <w:r w:rsidRPr="00230038">
        <w:rPr>
          <w:rFonts w:eastAsiaTheme="minorHAnsi" w:cstheme="minorBidi"/>
          <w:szCs w:val="22"/>
          <w:lang w:eastAsia="en-US"/>
        </w:rPr>
        <w:t xml:space="preserve"> droit national. </w:t>
      </w:r>
    </w:p>
    <w:p w14:paraId="5B343477" w14:textId="77777777" w:rsidR="00230038" w:rsidRDefault="00230038" w:rsidP="008605B6">
      <w:pPr>
        <w:pStyle w:val="Paragraphedeliste"/>
        <w:spacing w:after="200"/>
        <w:ind w:left="86"/>
        <w:jc w:val="both"/>
        <w:rPr>
          <w:rFonts w:eastAsiaTheme="minorHAnsi" w:cstheme="minorBidi"/>
          <w:szCs w:val="22"/>
          <w:lang w:eastAsia="en-US"/>
        </w:rPr>
      </w:pPr>
      <w:r w:rsidRPr="00230038">
        <w:rPr>
          <w:rFonts w:eastAsiaTheme="minorHAnsi" w:cstheme="minorBidi"/>
          <w:szCs w:val="22"/>
          <w:lang w:eastAsia="en-US"/>
        </w:rPr>
        <w:t xml:space="preserve">L’objectif de cette fiche est d’appuyer les gestionnaires dans l’application des règles de marchés publics dans le cadre d’un cofinancement européen. </w:t>
      </w:r>
    </w:p>
    <w:p w14:paraId="7CCDADD1" w14:textId="77777777" w:rsidR="004B3E0E" w:rsidRDefault="004B3E0E" w:rsidP="008605B6">
      <w:pPr>
        <w:pStyle w:val="Paragraphedeliste"/>
        <w:spacing w:after="200"/>
        <w:ind w:left="86"/>
        <w:jc w:val="both"/>
        <w:rPr>
          <w:rFonts w:eastAsiaTheme="minorHAnsi" w:cstheme="minorBidi"/>
          <w:szCs w:val="22"/>
          <w:lang w:eastAsia="en-US"/>
        </w:rPr>
      </w:pPr>
    </w:p>
    <w:p w14:paraId="79921D0A" w14:textId="77777777" w:rsidR="004B3E0E" w:rsidRDefault="004B3E0E" w:rsidP="008605B6">
      <w:pPr>
        <w:pStyle w:val="Paragraphedeliste"/>
        <w:spacing w:after="200"/>
        <w:ind w:left="86"/>
        <w:jc w:val="both"/>
        <w:rPr>
          <w:rFonts w:eastAsiaTheme="minorHAnsi" w:cstheme="minorBidi"/>
          <w:szCs w:val="22"/>
          <w:lang w:eastAsia="en-US"/>
        </w:rPr>
      </w:pPr>
    </w:p>
    <w:p w14:paraId="7570FB0C" w14:textId="77777777" w:rsidR="004B3E0E" w:rsidRDefault="004B3E0E" w:rsidP="008605B6">
      <w:pPr>
        <w:pStyle w:val="Paragraphedeliste"/>
        <w:spacing w:after="200"/>
        <w:ind w:left="86"/>
        <w:jc w:val="both"/>
        <w:rPr>
          <w:rFonts w:eastAsiaTheme="minorHAnsi" w:cstheme="minorBidi"/>
          <w:szCs w:val="22"/>
          <w:lang w:eastAsia="en-US"/>
        </w:rPr>
      </w:pPr>
    </w:p>
    <w:p w14:paraId="0A5BE34A" w14:textId="77777777" w:rsidR="00230038" w:rsidRDefault="00230038" w:rsidP="00230038">
      <w:pPr>
        <w:pStyle w:val="Titre1"/>
        <w:numPr>
          <w:ilvl w:val="0"/>
          <w:numId w:val="1"/>
        </w:numPr>
        <w:ind w:left="426"/>
      </w:pPr>
      <w:r>
        <w:t xml:space="preserve">Principes généraux </w:t>
      </w:r>
    </w:p>
    <w:p w14:paraId="022B3EF7" w14:textId="77777777" w:rsidR="00230038" w:rsidRDefault="00230038" w:rsidP="00230038">
      <w:pPr>
        <w:pStyle w:val="Paragraphedeliste"/>
        <w:spacing w:after="200" w:line="276" w:lineRule="auto"/>
        <w:ind w:left="86"/>
        <w:jc w:val="both"/>
        <w:rPr>
          <w:rFonts w:eastAsiaTheme="minorHAnsi" w:cstheme="minorBidi"/>
          <w:szCs w:val="22"/>
          <w:lang w:eastAsia="en-US"/>
        </w:rPr>
      </w:pPr>
    </w:p>
    <w:p w14:paraId="501B3C3B" w14:textId="77777777" w:rsidR="002A50EC" w:rsidRPr="00AD7973" w:rsidRDefault="00DD10EB" w:rsidP="002A50EC">
      <w:pPr>
        <w:pStyle w:val="Normalgrasvertcentre"/>
        <w:rPr>
          <w:sz w:val="24"/>
          <w:szCs w:val="24"/>
        </w:rPr>
      </w:pPr>
      <w:r>
        <w:rPr>
          <w:sz w:val="24"/>
          <w:szCs w:val="24"/>
        </w:rPr>
        <w:t xml:space="preserve">A - </w:t>
      </w:r>
      <w:r w:rsidR="002A50EC" w:rsidRPr="00AD7973">
        <w:rPr>
          <w:sz w:val="24"/>
          <w:szCs w:val="24"/>
        </w:rPr>
        <w:t>Définition de la règle</w:t>
      </w:r>
    </w:p>
    <w:p w14:paraId="3FE28D9C" w14:textId="77777777" w:rsidR="002A50EC" w:rsidRDefault="002A50EC" w:rsidP="002A50EC">
      <w:pPr>
        <w:pStyle w:val="Paragraphedeliste"/>
      </w:pPr>
    </w:p>
    <w:p w14:paraId="715F72E9" w14:textId="77777777" w:rsidR="00230038" w:rsidRPr="00230038" w:rsidRDefault="00230038" w:rsidP="00230038">
      <w:pPr>
        <w:rPr>
          <w:b/>
          <w:szCs w:val="20"/>
        </w:rPr>
      </w:pPr>
      <w:r w:rsidRPr="00230038">
        <w:rPr>
          <w:b/>
          <w:szCs w:val="20"/>
        </w:rPr>
        <w:t>Rappel du cadre juridique</w:t>
      </w:r>
    </w:p>
    <w:p w14:paraId="75C83B4B" w14:textId="77777777" w:rsidR="00230038" w:rsidRPr="00230038" w:rsidRDefault="00230038" w:rsidP="00230038">
      <w:pPr>
        <w:rPr>
          <w:szCs w:val="20"/>
        </w:rPr>
      </w:pPr>
      <w:r w:rsidRPr="00230038">
        <w:rPr>
          <w:szCs w:val="20"/>
        </w:rPr>
        <w:t xml:space="preserve">Les marchés publics sont des contrats conclus à titre onéreux entre les </w:t>
      </w:r>
      <w:r w:rsidR="00486DDF">
        <w:rPr>
          <w:szCs w:val="20"/>
        </w:rPr>
        <w:t>acheteurs</w:t>
      </w:r>
      <w:r w:rsidRPr="00230038">
        <w:rPr>
          <w:szCs w:val="20"/>
        </w:rPr>
        <w:t xml:space="preserve"> et des opérateurs économiques publics ou privés, pour répondre à des besoins en matière de travaux, de fournitures ou de services. (Art 4 de l’ordonnance du 23 juillet 2015)</w:t>
      </w:r>
      <w:r w:rsidR="00463C11">
        <w:rPr>
          <w:szCs w:val="20"/>
        </w:rPr>
        <w:t>.</w:t>
      </w:r>
    </w:p>
    <w:p w14:paraId="1D97A6C2" w14:textId="77777777" w:rsidR="00230038" w:rsidRPr="00230038" w:rsidRDefault="00230038" w:rsidP="00230038">
      <w:pPr>
        <w:rPr>
          <w:szCs w:val="20"/>
        </w:rPr>
      </w:pPr>
      <w:r w:rsidRPr="00230038">
        <w:rPr>
          <w:szCs w:val="20"/>
        </w:rPr>
        <w:t>La transposition des directives 2004/17/CE et 2004/18/CE en droit français a engendré 2 corpus de textes :</w:t>
      </w:r>
    </w:p>
    <w:p w14:paraId="5DE5135A" w14:textId="77777777" w:rsidR="00230038" w:rsidRPr="00230038" w:rsidRDefault="00230038" w:rsidP="00230038">
      <w:pPr>
        <w:pStyle w:val="Paragraphedeliste"/>
        <w:numPr>
          <w:ilvl w:val="0"/>
          <w:numId w:val="3"/>
        </w:numPr>
        <w:spacing w:after="200" w:line="276" w:lineRule="auto"/>
        <w:jc w:val="both"/>
        <w:rPr>
          <w:szCs w:val="20"/>
        </w:rPr>
      </w:pPr>
      <w:proofErr w:type="gramStart"/>
      <w:r w:rsidRPr="00230038">
        <w:rPr>
          <w:szCs w:val="20"/>
        </w:rPr>
        <w:t>le</w:t>
      </w:r>
      <w:proofErr w:type="gramEnd"/>
      <w:r w:rsidRPr="00230038">
        <w:rPr>
          <w:szCs w:val="20"/>
        </w:rPr>
        <w:t xml:space="preserve"> code des marchés publics</w:t>
      </w:r>
      <w:r w:rsidR="00463C11">
        <w:rPr>
          <w:szCs w:val="20"/>
        </w:rPr>
        <w:t xml:space="preserve"> </w:t>
      </w:r>
      <w:r w:rsidRPr="00230038">
        <w:rPr>
          <w:szCs w:val="20"/>
        </w:rPr>
        <w:t>(CMP)</w:t>
      </w:r>
    </w:p>
    <w:p w14:paraId="38244A59" w14:textId="77777777" w:rsidR="00230038" w:rsidRPr="00230038" w:rsidRDefault="00463C11" w:rsidP="00230038">
      <w:pPr>
        <w:pStyle w:val="Paragraphedeliste"/>
        <w:numPr>
          <w:ilvl w:val="0"/>
          <w:numId w:val="3"/>
        </w:numPr>
        <w:spacing w:after="200" w:line="276" w:lineRule="auto"/>
        <w:jc w:val="both"/>
        <w:rPr>
          <w:szCs w:val="20"/>
        </w:rPr>
      </w:pPr>
      <w:proofErr w:type="gramStart"/>
      <w:r>
        <w:rPr>
          <w:szCs w:val="20"/>
        </w:rPr>
        <w:t>l’ordonnance</w:t>
      </w:r>
      <w:proofErr w:type="gramEnd"/>
      <w:r>
        <w:rPr>
          <w:szCs w:val="20"/>
        </w:rPr>
        <w:t xml:space="preserve"> </w:t>
      </w:r>
      <w:r w:rsidR="00230038" w:rsidRPr="00230038">
        <w:rPr>
          <w:szCs w:val="20"/>
        </w:rPr>
        <w:t xml:space="preserve">n°2005-649 du 6 juin 2005 relative aux marchés passés par certaines personnes publiques ou privées non soumises au code des marchés publics et ses décrets d’application : </w:t>
      </w:r>
    </w:p>
    <w:p w14:paraId="63450C53" w14:textId="77777777" w:rsidR="00230038" w:rsidRPr="00230038" w:rsidRDefault="00230038" w:rsidP="00230038">
      <w:pPr>
        <w:pStyle w:val="Paragraphedeliste"/>
        <w:numPr>
          <w:ilvl w:val="1"/>
          <w:numId w:val="3"/>
        </w:numPr>
        <w:spacing w:after="200" w:line="276" w:lineRule="auto"/>
        <w:ind w:left="1440" w:hanging="360"/>
        <w:jc w:val="both"/>
        <w:rPr>
          <w:szCs w:val="20"/>
        </w:rPr>
      </w:pPr>
      <w:r w:rsidRPr="00230038">
        <w:rPr>
          <w:szCs w:val="20"/>
        </w:rPr>
        <w:t xml:space="preserve"> </w:t>
      </w:r>
      <w:proofErr w:type="gramStart"/>
      <w:r w:rsidRPr="00230038">
        <w:rPr>
          <w:szCs w:val="20"/>
        </w:rPr>
        <w:t>décret</w:t>
      </w:r>
      <w:proofErr w:type="gramEnd"/>
      <w:r w:rsidRPr="00230038">
        <w:rPr>
          <w:szCs w:val="20"/>
        </w:rPr>
        <w:t xml:space="preserve"> n°2005-1308 du 20 octobre 2005 relatif aux marchés passés par les entités adjudicatrices mentionnées à l'article 4 de l'ordonnance n° 2005-649 du 6 juin 2005 relative aux marchés passés par certaines personnes publiques ou privées non soumises au code des marchés publics</w:t>
      </w:r>
    </w:p>
    <w:p w14:paraId="6AF6BDBE" w14:textId="77777777" w:rsidR="00A62ACC" w:rsidRPr="00F13309" w:rsidRDefault="00230038" w:rsidP="00F13309">
      <w:pPr>
        <w:pStyle w:val="Paragraphedeliste"/>
        <w:numPr>
          <w:ilvl w:val="0"/>
          <w:numId w:val="37"/>
        </w:numPr>
        <w:spacing w:after="200"/>
        <w:rPr>
          <w:szCs w:val="20"/>
        </w:rPr>
      </w:pPr>
      <w:proofErr w:type="gramStart"/>
      <w:r w:rsidRPr="00F13309">
        <w:rPr>
          <w:szCs w:val="20"/>
        </w:rPr>
        <w:t>décret</w:t>
      </w:r>
      <w:proofErr w:type="gramEnd"/>
      <w:r w:rsidRPr="00F13309">
        <w:rPr>
          <w:szCs w:val="20"/>
        </w:rPr>
        <w:t xml:space="preserve"> n°2005-1742 du 30 décembre 2005 fixant les règles applicables aux marchés passés par les </w:t>
      </w:r>
      <w:r w:rsidR="00486DDF">
        <w:rPr>
          <w:szCs w:val="20"/>
        </w:rPr>
        <w:t>acheteurs</w:t>
      </w:r>
      <w:r w:rsidRPr="00F13309">
        <w:rPr>
          <w:szCs w:val="20"/>
        </w:rPr>
        <w:t xml:space="preserve"> mentionnés à l'article 3 de l'ordonnance n° 2005-649 du 6 juin 2005 relative aux marchés passés par certaines personnes publiques ou privées non soumises au code des marchés publics</w:t>
      </w:r>
    </w:p>
    <w:p w14:paraId="16DA09F4" w14:textId="77777777" w:rsidR="00230038" w:rsidRPr="00110138" w:rsidRDefault="00230038" w:rsidP="00230038">
      <w:pPr>
        <w:rPr>
          <w:b/>
          <w:color w:val="FF0000"/>
          <w:szCs w:val="20"/>
          <w:u w:val="double"/>
        </w:rPr>
      </w:pPr>
      <w:r w:rsidRPr="00110138">
        <w:rPr>
          <w:b/>
          <w:color w:val="FF0000"/>
          <w:szCs w:val="20"/>
          <w:u w:val="double"/>
        </w:rPr>
        <w:t>Ces deux directives europé</w:t>
      </w:r>
      <w:r w:rsidR="00ED7ED5">
        <w:rPr>
          <w:b/>
          <w:color w:val="FF0000"/>
          <w:szCs w:val="20"/>
          <w:u w:val="double"/>
        </w:rPr>
        <w:t>ennes ont été abrogées</w:t>
      </w:r>
      <w:r w:rsidR="00C25BA7" w:rsidRPr="00110138">
        <w:rPr>
          <w:b/>
          <w:color w:val="FF0000"/>
          <w:szCs w:val="20"/>
          <w:u w:val="double"/>
        </w:rPr>
        <w:t>,</w:t>
      </w:r>
      <w:r w:rsidRPr="00110138">
        <w:rPr>
          <w:b/>
          <w:color w:val="FF0000"/>
          <w:szCs w:val="20"/>
          <w:u w:val="double"/>
        </w:rPr>
        <w:t xml:space="preserve"> les </w:t>
      </w:r>
      <w:r w:rsidR="00C25BA7" w:rsidRPr="00110138">
        <w:rPr>
          <w:b/>
          <w:color w:val="FF0000"/>
          <w:szCs w:val="20"/>
          <w:u w:val="double"/>
        </w:rPr>
        <w:t xml:space="preserve">nouveaux textes de référence </w:t>
      </w:r>
      <w:r w:rsidRPr="00110138">
        <w:rPr>
          <w:b/>
          <w:color w:val="FF0000"/>
          <w:szCs w:val="20"/>
          <w:u w:val="double"/>
        </w:rPr>
        <w:t>sont les suivants :</w:t>
      </w:r>
    </w:p>
    <w:p w14:paraId="45BC86B8" w14:textId="77777777" w:rsidR="00C25BA7" w:rsidRDefault="00C25BA7" w:rsidP="00230038">
      <w:pPr>
        <w:rPr>
          <w:szCs w:val="20"/>
        </w:rPr>
      </w:pPr>
    </w:p>
    <w:p w14:paraId="6C8919B5" w14:textId="77777777" w:rsidR="00230038" w:rsidRPr="00C25BA7" w:rsidRDefault="00F5308F" w:rsidP="00230038">
      <w:pPr>
        <w:rPr>
          <w:szCs w:val="20"/>
          <w:u w:val="single"/>
        </w:rPr>
      </w:pPr>
      <w:r>
        <w:rPr>
          <w:szCs w:val="20"/>
          <w:u w:val="single"/>
        </w:rPr>
        <w:t>Au niveau européen </w:t>
      </w:r>
      <w:r w:rsidR="00230038" w:rsidRPr="00C25BA7">
        <w:rPr>
          <w:szCs w:val="20"/>
          <w:u w:val="single"/>
        </w:rPr>
        <w:t xml:space="preserve"> </w:t>
      </w:r>
    </w:p>
    <w:p w14:paraId="62AC1EED" w14:textId="77777777" w:rsidR="00230038" w:rsidRPr="0060281D" w:rsidRDefault="00230038" w:rsidP="00230038">
      <w:pPr>
        <w:pStyle w:val="Normal1"/>
        <w:numPr>
          <w:ilvl w:val="0"/>
          <w:numId w:val="17"/>
        </w:numPr>
        <w:jc w:val="both"/>
        <w:rPr>
          <w:rFonts w:asciiTheme="minorHAnsi" w:hAnsiTheme="minorHAnsi"/>
          <w:sz w:val="20"/>
          <w:szCs w:val="20"/>
        </w:rPr>
      </w:pPr>
      <w:r w:rsidRPr="0060281D">
        <w:rPr>
          <w:rFonts w:asciiTheme="minorHAnsi" w:hAnsiTheme="minorHAnsi"/>
          <w:sz w:val="20"/>
          <w:szCs w:val="20"/>
        </w:rPr>
        <w:t xml:space="preserve">Directive </w:t>
      </w:r>
      <w:hyperlink r:id="rId9" w:history="1">
        <w:r w:rsidRPr="0060281D">
          <w:rPr>
            <w:rStyle w:val="Lienhypertexte"/>
            <w:rFonts w:asciiTheme="minorHAnsi" w:eastAsia="MS Mincho" w:hAnsiTheme="minorHAnsi"/>
            <w:sz w:val="20"/>
            <w:szCs w:val="20"/>
          </w:rPr>
          <w:t>2014/24/UE</w:t>
        </w:r>
      </w:hyperlink>
      <w:r w:rsidRPr="0060281D">
        <w:rPr>
          <w:rFonts w:asciiTheme="minorHAnsi" w:hAnsiTheme="minorHAnsi"/>
          <w:sz w:val="20"/>
          <w:szCs w:val="20"/>
        </w:rPr>
        <w:t xml:space="preserve"> du Parlement européen et du Conseil du 26 février 2014 sur la </w:t>
      </w:r>
      <w:hyperlink r:id="rId10" w:history="1">
        <w:r w:rsidRPr="0060281D">
          <w:rPr>
            <w:rStyle w:val="Lienhypertexte"/>
            <w:rFonts w:asciiTheme="minorHAnsi" w:eastAsia="MS Mincho" w:hAnsiTheme="minorHAnsi"/>
            <w:sz w:val="20"/>
            <w:szCs w:val="20"/>
          </w:rPr>
          <w:t>passation des marchés publics</w:t>
        </w:r>
      </w:hyperlink>
      <w:r w:rsidRPr="0060281D">
        <w:rPr>
          <w:rFonts w:asciiTheme="minorHAnsi" w:hAnsiTheme="minorHAnsi"/>
          <w:sz w:val="20"/>
          <w:szCs w:val="20"/>
        </w:rPr>
        <w:t xml:space="preserve"> et abrogeant la directive 2004/18/CE.</w:t>
      </w:r>
    </w:p>
    <w:p w14:paraId="002B52C7" w14:textId="77777777" w:rsidR="00230038" w:rsidRPr="0060281D" w:rsidRDefault="00230038" w:rsidP="00230038">
      <w:pPr>
        <w:pStyle w:val="Normal1"/>
        <w:numPr>
          <w:ilvl w:val="0"/>
          <w:numId w:val="17"/>
        </w:numPr>
        <w:jc w:val="both"/>
        <w:rPr>
          <w:rFonts w:asciiTheme="minorHAnsi" w:hAnsiTheme="minorHAnsi"/>
          <w:sz w:val="20"/>
          <w:szCs w:val="20"/>
        </w:rPr>
      </w:pPr>
      <w:r w:rsidRPr="0060281D">
        <w:rPr>
          <w:rFonts w:asciiTheme="minorHAnsi" w:hAnsiTheme="minorHAnsi"/>
          <w:sz w:val="20"/>
          <w:szCs w:val="20"/>
        </w:rPr>
        <w:t xml:space="preserve">Directive </w:t>
      </w:r>
      <w:hyperlink r:id="rId11" w:history="1">
        <w:r w:rsidRPr="0060281D">
          <w:rPr>
            <w:rStyle w:val="Lienhypertexte"/>
            <w:rFonts w:asciiTheme="minorHAnsi" w:eastAsia="MS Mincho" w:hAnsiTheme="minorHAnsi"/>
            <w:sz w:val="20"/>
            <w:szCs w:val="20"/>
          </w:rPr>
          <w:t>2014/25/UE</w:t>
        </w:r>
      </w:hyperlink>
      <w:r w:rsidRPr="0060281D">
        <w:rPr>
          <w:rFonts w:asciiTheme="minorHAnsi" w:hAnsiTheme="minorHAnsi"/>
          <w:sz w:val="20"/>
          <w:szCs w:val="20"/>
        </w:rPr>
        <w:t xml:space="preserve"> du Parlement européen et du Conseil du 26 février 2014 relative à la passation de marchés par des entités opérant dans les </w:t>
      </w:r>
      <w:hyperlink r:id="rId12" w:history="1">
        <w:r w:rsidRPr="0060281D">
          <w:rPr>
            <w:rStyle w:val="Lienhypertexte"/>
            <w:rFonts w:asciiTheme="minorHAnsi" w:eastAsia="MS Mincho" w:hAnsiTheme="minorHAnsi"/>
            <w:sz w:val="20"/>
            <w:szCs w:val="20"/>
          </w:rPr>
          <w:t>secteurs de l’eau, de l’énergie, des transports et des services postaux</w:t>
        </w:r>
      </w:hyperlink>
      <w:r w:rsidRPr="0060281D">
        <w:rPr>
          <w:rFonts w:asciiTheme="minorHAnsi" w:hAnsiTheme="minorHAnsi"/>
          <w:sz w:val="20"/>
          <w:szCs w:val="20"/>
        </w:rPr>
        <w:t xml:space="preserve"> et abrogeant la directive 2004/17/CE.</w:t>
      </w:r>
    </w:p>
    <w:p w14:paraId="19134641" w14:textId="77777777" w:rsidR="00230038" w:rsidRPr="0060281D" w:rsidRDefault="00230038" w:rsidP="00230038">
      <w:pPr>
        <w:pStyle w:val="Normal1"/>
        <w:numPr>
          <w:ilvl w:val="0"/>
          <w:numId w:val="17"/>
        </w:numPr>
        <w:jc w:val="both"/>
        <w:rPr>
          <w:rFonts w:asciiTheme="minorHAnsi" w:hAnsiTheme="minorHAnsi"/>
          <w:sz w:val="20"/>
          <w:szCs w:val="20"/>
        </w:rPr>
      </w:pPr>
      <w:r w:rsidRPr="0060281D">
        <w:rPr>
          <w:rFonts w:asciiTheme="minorHAnsi" w:hAnsiTheme="minorHAnsi"/>
          <w:sz w:val="20"/>
          <w:szCs w:val="20"/>
        </w:rPr>
        <w:t xml:space="preserve">Directive </w:t>
      </w:r>
      <w:hyperlink r:id="rId13" w:history="1">
        <w:r w:rsidRPr="0060281D">
          <w:rPr>
            <w:rStyle w:val="Lienhypertexte"/>
            <w:rFonts w:asciiTheme="minorHAnsi" w:eastAsia="MS Mincho" w:hAnsiTheme="minorHAnsi"/>
            <w:sz w:val="20"/>
            <w:szCs w:val="20"/>
          </w:rPr>
          <w:t>2014/23/UE</w:t>
        </w:r>
      </w:hyperlink>
      <w:r w:rsidRPr="0060281D">
        <w:rPr>
          <w:rFonts w:asciiTheme="minorHAnsi" w:hAnsiTheme="minorHAnsi"/>
          <w:sz w:val="20"/>
          <w:szCs w:val="20"/>
        </w:rPr>
        <w:t xml:space="preserve"> du Parlement européen et du Conseil du 26 février 2014 sur l’attribution de </w:t>
      </w:r>
      <w:hyperlink r:id="rId14" w:history="1">
        <w:r w:rsidRPr="0060281D">
          <w:rPr>
            <w:rStyle w:val="Lienhypertexte"/>
            <w:rFonts w:asciiTheme="minorHAnsi" w:eastAsia="MS Mincho" w:hAnsiTheme="minorHAnsi"/>
            <w:sz w:val="20"/>
            <w:szCs w:val="20"/>
          </w:rPr>
          <w:t>contrats de concession</w:t>
        </w:r>
      </w:hyperlink>
      <w:r w:rsidRPr="0060281D">
        <w:rPr>
          <w:rFonts w:asciiTheme="minorHAnsi" w:hAnsiTheme="minorHAnsi"/>
          <w:sz w:val="20"/>
          <w:szCs w:val="20"/>
        </w:rPr>
        <w:t>.</w:t>
      </w:r>
    </w:p>
    <w:p w14:paraId="137AFAAB" w14:textId="77777777" w:rsidR="00A62ACC" w:rsidRPr="00E72685" w:rsidRDefault="00E72685" w:rsidP="00E72685">
      <w:pPr>
        <w:pStyle w:val="Normal1"/>
        <w:numPr>
          <w:ilvl w:val="0"/>
          <w:numId w:val="17"/>
        </w:numPr>
        <w:jc w:val="both"/>
        <w:rPr>
          <w:rFonts w:asciiTheme="minorHAnsi" w:hAnsiTheme="minorHAnsi"/>
          <w:sz w:val="20"/>
          <w:szCs w:val="20"/>
        </w:rPr>
      </w:pPr>
      <w:r w:rsidRPr="00E72685">
        <w:rPr>
          <w:rFonts w:asciiTheme="minorHAnsi" w:hAnsiTheme="minorHAnsi"/>
          <w:sz w:val="20"/>
          <w:szCs w:val="20"/>
        </w:rPr>
        <w:t xml:space="preserve">Le règlement financier UE n°2018/1046. </w:t>
      </w:r>
      <w:r w:rsidR="00A62ACC" w:rsidRPr="00E72685">
        <w:rPr>
          <w:rFonts w:asciiTheme="minorHAnsi" w:hAnsiTheme="minorHAnsi"/>
          <w:sz w:val="20"/>
          <w:szCs w:val="20"/>
        </w:rPr>
        <w:t>L</w:t>
      </w:r>
      <w:r>
        <w:rPr>
          <w:rFonts w:asciiTheme="minorHAnsi" w:hAnsiTheme="minorHAnsi"/>
          <w:sz w:val="20"/>
          <w:szCs w:val="20"/>
        </w:rPr>
        <w:t>’ancien</w:t>
      </w:r>
      <w:r w:rsidR="00A62ACC" w:rsidRPr="00E72685">
        <w:rPr>
          <w:rFonts w:asciiTheme="minorHAnsi" w:hAnsiTheme="minorHAnsi"/>
          <w:sz w:val="20"/>
          <w:szCs w:val="20"/>
        </w:rPr>
        <w:t xml:space="preserve"> règlement financier UE n°966/2012 et son règlement délégué</w:t>
      </w:r>
      <w:r>
        <w:rPr>
          <w:rFonts w:asciiTheme="minorHAnsi" w:hAnsiTheme="minorHAnsi"/>
          <w:sz w:val="20"/>
          <w:szCs w:val="20"/>
        </w:rPr>
        <w:t xml:space="preserve"> restent applicables aux engagements juridiques contractés avant l’</w:t>
      </w:r>
      <w:r w:rsidR="00624E00">
        <w:rPr>
          <w:rFonts w:asciiTheme="minorHAnsi" w:hAnsiTheme="minorHAnsi"/>
          <w:sz w:val="20"/>
          <w:szCs w:val="20"/>
        </w:rPr>
        <w:t>entrée en vigueur du règlement n</w:t>
      </w:r>
      <w:r>
        <w:rPr>
          <w:rFonts w:asciiTheme="minorHAnsi" w:hAnsiTheme="minorHAnsi"/>
          <w:sz w:val="20"/>
          <w:szCs w:val="20"/>
        </w:rPr>
        <w:t>°2018/1046</w:t>
      </w:r>
      <w:r w:rsidR="00A62ACC" w:rsidRPr="00E72685">
        <w:rPr>
          <w:rFonts w:asciiTheme="minorHAnsi" w:hAnsiTheme="minorHAnsi"/>
          <w:sz w:val="20"/>
          <w:szCs w:val="20"/>
        </w:rPr>
        <w:t>.</w:t>
      </w:r>
    </w:p>
    <w:p w14:paraId="6FEF25CD" w14:textId="77777777" w:rsidR="00230038" w:rsidRPr="00C25BA7" w:rsidRDefault="00230038" w:rsidP="00230038">
      <w:pPr>
        <w:pStyle w:val="Normal1"/>
        <w:jc w:val="both"/>
        <w:rPr>
          <w:rFonts w:asciiTheme="minorHAnsi" w:hAnsiTheme="minorHAnsi"/>
          <w:sz w:val="20"/>
          <w:szCs w:val="20"/>
          <w:u w:val="single"/>
        </w:rPr>
      </w:pPr>
      <w:r w:rsidRPr="00C25BA7">
        <w:rPr>
          <w:rFonts w:asciiTheme="minorHAnsi" w:hAnsiTheme="minorHAnsi"/>
          <w:sz w:val="20"/>
          <w:szCs w:val="20"/>
          <w:u w:val="single"/>
        </w:rPr>
        <w:t xml:space="preserve">Au niveau national </w:t>
      </w:r>
    </w:p>
    <w:p w14:paraId="448A17E6" w14:textId="77777777" w:rsidR="00230038" w:rsidRPr="00230038" w:rsidRDefault="00230038" w:rsidP="00230038">
      <w:pPr>
        <w:pStyle w:val="Normal1"/>
        <w:numPr>
          <w:ilvl w:val="0"/>
          <w:numId w:val="17"/>
        </w:numPr>
        <w:jc w:val="both"/>
        <w:rPr>
          <w:rFonts w:asciiTheme="minorHAnsi" w:hAnsiTheme="minorHAnsi"/>
          <w:sz w:val="20"/>
          <w:szCs w:val="20"/>
        </w:rPr>
      </w:pPr>
      <w:r w:rsidRPr="00230038">
        <w:rPr>
          <w:rFonts w:asciiTheme="minorHAnsi" w:hAnsiTheme="minorHAnsi"/>
          <w:sz w:val="20"/>
          <w:szCs w:val="20"/>
        </w:rPr>
        <w:t>Ordonnance n°2015-899 du 23 juillet 2015 relative aux marchés publics</w:t>
      </w:r>
    </w:p>
    <w:p w14:paraId="00C3AA4D" w14:textId="77777777" w:rsidR="00230038" w:rsidRDefault="00230038" w:rsidP="00230038">
      <w:pPr>
        <w:pStyle w:val="Normal1"/>
        <w:numPr>
          <w:ilvl w:val="0"/>
          <w:numId w:val="17"/>
        </w:numPr>
        <w:jc w:val="both"/>
        <w:rPr>
          <w:rFonts w:asciiTheme="minorHAnsi" w:hAnsiTheme="minorHAnsi"/>
          <w:sz w:val="20"/>
          <w:szCs w:val="20"/>
        </w:rPr>
      </w:pPr>
      <w:r w:rsidRPr="00230038">
        <w:rPr>
          <w:rFonts w:asciiTheme="minorHAnsi" w:hAnsiTheme="minorHAnsi"/>
          <w:sz w:val="20"/>
          <w:szCs w:val="20"/>
        </w:rPr>
        <w:t>Décret du 25 mars 2016 n°2016-360 relatifs aux marchés publics</w:t>
      </w:r>
    </w:p>
    <w:p w14:paraId="6D68F3FB" w14:textId="77777777" w:rsidR="00110138" w:rsidRDefault="00110138" w:rsidP="00110138">
      <w:pPr>
        <w:pStyle w:val="Normal1"/>
        <w:numPr>
          <w:ilvl w:val="0"/>
          <w:numId w:val="17"/>
        </w:numPr>
        <w:rPr>
          <w:rFonts w:asciiTheme="minorHAnsi" w:hAnsiTheme="minorHAnsi"/>
          <w:sz w:val="20"/>
          <w:szCs w:val="20"/>
        </w:rPr>
      </w:pPr>
      <w:r w:rsidRPr="00110138">
        <w:rPr>
          <w:rFonts w:asciiTheme="minorHAnsi" w:hAnsiTheme="minorHAnsi"/>
          <w:sz w:val="20"/>
          <w:szCs w:val="20"/>
        </w:rPr>
        <w:t>Ordonnance n° 2016-65 du 29 janvier 2016 relative aux contrats de concession</w:t>
      </w:r>
    </w:p>
    <w:p w14:paraId="6E64E43C" w14:textId="77777777" w:rsidR="00110138" w:rsidRPr="00110138" w:rsidRDefault="00110138" w:rsidP="00110138">
      <w:pPr>
        <w:pStyle w:val="Normal1"/>
        <w:numPr>
          <w:ilvl w:val="0"/>
          <w:numId w:val="17"/>
        </w:numPr>
        <w:rPr>
          <w:rFonts w:asciiTheme="minorHAnsi" w:hAnsiTheme="minorHAnsi"/>
          <w:sz w:val="20"/>
          <w:szCs w:val="20"/>
        </w:rPr>
      </w:pPr>
      <w:r w:rsidRPr="00110138">
        <w:rPr>
          <w:rFonts w:asciiTheme="minorHAnsi" w:hAnsiTheme="minorHAnsi"/>
          <w:sz w:val="20"/>
          <w:szCs w:val="20"/>
        </w:rPr>
        <w:t>Décret n° 2016-86 du 1er février 2016 relatif aux contrats de concession</w:t>
      </w:r>
    </w:p>
    <w:p w14:paraId="2F94C783" w14:textId="77777777" w:rsidR="00110138" w:rsidRDefault="00110138" w:rsidP="00110138">
      <w:pPr>
        <w:pStyle w:val="Normal1"/>
        <w:numPr>
          <w:ilvl w:val="0"/>
          <w:numId w:val="17"/>
        </w:numPr>
        <w:rPr>
          <w:rFonts w:asciiTheme="minorHAnsi" w:hAnsiTheme="minorHAnsi"/>
          <w:sz w:val="20"/>
          <w:szCs w:val="20"/>
        </w:rPr>
      </w:pPr>
      <w:r w:rsidRPr="00110138">
        <w:rPr>
          <w:rFonts w:asciiTheme="minorHAnsi" w:hAnsiTheme="minorHAnsi"/>
          <w:sz w:val="20"/>
          <w:szCs w:val="20"/>
        </w:rPr>
        <w:t>Décret n° 2016-361 du 25 mars 2016 relatif aux marchés publics de défense ou de sécurité</w:t>
      </w:r>
    </w:p>
    <w:p w14:paraId="79B6ADD9" w14:textId="77777777" w:rsidR="006C47C6" w:rsidRPr="00110138" w:rsidRDefault="006C47C6" w:rsidP="006C47C6">
      <w:pPr>
        <w:pStyle w:val="Normal1"/>
        <w:numPr>
          <w:ilvl w:val="0"/>
          <w:numId w:val="17"/>
        </w:numPr>
        <w:rPr>
          <w:rFonts w:asciiTheme="minorHAnsi" w:hAnsiTheme="minorHAnsi"/>
          <w:sz w:val="20"/>
          <w:szCs w:val="20"/>
        </w:rPr>
      </w:pPr>
      <w:r>
        <w:rPr>
          <w:rFonts w:asciiTheme="minorHAnsi" w:hAnsiTheme="minorHAnsi"/>
          <w:sz w:val="20"/>
          <w:szCs w:val="20"/>
        </w:rPr>
        <w:lastRenderedPageBreak/>
        <w:t>L</w:t>
      </w:r>
      <w:r w:rsidRPr="006C47C6">
        <w:rPr>
          <w:rFonts w:asciiTheme="minorHAnsi" w:hAnsiTheme="minorHAnsi"/>
          <w:sz w:val="20"/>
          <w:szCs w:val="20"/>
        </w:rPr>
        <w:t xml:space="preserve">oi n° 2016-1691 du 9 décembre 2016 relative à la transparence, à la lutte contre la corruption et à la modernisation de la </w:t>
      </w:r>
      <w:r>
        <w:rPr>
          <w:rFonts w:asciiTheme="minorHAnsi" w:hAnsiTheme="minorHAnsi"/>
          <w:sz w:val="20"/>
          <w:szCs w:val="20"/>
        </w:rPr>
        <w:t>vie économique, dite "Sapin 2"</w:t>
      </w:r>
      <w:r>
        <w:rPr>
          <w:rStyle w:val="Appelnotedebasdep"/>
          <w:rFonts w:asciiTheme="minorHAnsi" w:hAnsiTheme="minorHAnsi"/>
          <w:sz w:val="20"/>
          <w:szCs w:val="20"/>
        </w:rPr>
        <w:footnoteReference w:id="2"/>
      </w:r>
    </w:p>
    <w:p w14:paraId="7038660D" w14:textId="77777777" w:rsidR="00230038" w:rsidRPr="00230038" w:rsidRDefault="00230038" w:rsidP="00230038">
      <w:pPr>
        <w:pStyle w:val="Normal1"/>
        <w:jc w:val="both"/>
        <w:rPr>
          <w:rFonts w:asciiTheme="minorHAnsi" w:hAnsiTheme="minorHAnsi"/>
          <w:sz w:val="20"/>
          <w:szCs w:val="20"/>
        </w:rPr>
      </w:pPr>
      <w:r w:rsidRPr="00230038">
        <w:rPr>
          <w:rFonts w:asciiTheme="minorHAnsi" w:hAnsiTheme="minorHAnsi"/>
          <w:sz w:val="20"/>
          <w:szCs w:val="20"/>
        </w:rPr>
        <w:t>Ils sont accompagnés par un arrêté publié au JO du 31 mars 2016, et une série d’avis publiés au JO du 27 mars 2016 :</w:t>
      </w:r>
    </w:p>
    <w:p w14:paraId="3EAFE341" w14:textId="77777777" w:rsidR="00230038" w:rsidRPr="0060281D" w:rsidRDefault="00FF0E51" w:rsidP="00230038">
      <w:pPr>
        <w:pStyle w:val="Normal1"/>
        <w:numPr>
          <w:ilvl w:val="0"/>
          <w:numId w:val="18"/>
        </w:numPr>
        <w:jc w:val="both"/>
        <w:rPr>
          <w:rFonts w:asciiTheme="minorHAnsi" w:hAnsiTheme="minorHAnsi"/>
          <w:sz w:val="20"/>
          <w:szCs w:val="20"/>
        </w:rPr>
      </w:pPr>
      <w:hyperlink r:id="rId15" w:history="1">
        <w:r w:rsidR="00230038" w:rsidRPr="0060281D">
          <w:rPr>
            <w:rStyle w:val="Lienhypertexte"/>
            <w:rFonts w:asciiTheme="minorHAnsi" w:eastAsia="MS Mincho" w:hAnsiTheme="minorHAnsi"/>
            <w:sz w:val="20"/>
            <w:szCs w:val="20"/>
          </w:rPr>
          <w:t>Arrêté du 29 mars 2016</w:t>
        </w:r>
      </w:hyperlink>
      <w:r w:rsidR="00230038" w:rsidRPr="0060281D">
        <w:rPr>
          <w:rFonts w:asciiTheme="minorHAnsi" w:hAnsiTheme="minorHAnsi"/>
          <w:sz w:val="20"/>
          <w:szCs w:val="20"/>
        </w:rPr>
        <w:t xml:space="preserve"> fixant la liste des renseignements et des documents pouvant être demandés aux candidats aux marchés publics</w:t>
      </w:r>
    </w:p>
    <w:p w14:paraId="7CAE090E" w14:textId="77777777" w:rsidR="00230038" w:rsidRPr="0060281D" w:rsidRDefault="00FF0E51" w:rsidP="00230038">
      <w:pPr>
        <w:pStyle w:val="Normal1"/>
        <w:numPr>
          <w:ilvl w:val="0"/>
          <w:numId w:val="18"/>
        </w:numPr>
        <w:jc w:val="both"/>
        <w:rPr>
          <w:rFonts w:asciiTheme="minorHAnsi" w:hAnsiTheme="minorHAnsi"/>
          <w:sz w:val="20"/>
          <w:szCs w:val="20"/>
        </w:rPr>
      </w:pPr>
      <w:hyperlink r:id="rId16" w:history="1">
        <w:r w:rsidR="00230038" w:rsidRPr="0060281D">
          <w:rPr>
            <w:rStyle w:val="Lienhypertexte"/>
            <w:rFonts w:asciiTheme="minorHAnsi" w:eastAsia="MS Mincho" w:hAnsiTheme="minorHAnsi"/>
            <w:sz w:val="20"/>
            <w:szCs w:val="20"/>
          </w:rPr>
          <w:t>Avis relatif aux seuils de procédure</w:t>
        </w:r>
      </w:hyperlink>
      <w:r w:rsidR="00230038" w:rsidRPr="0060281D">
        <w:rPr>
          <w:rFonts w:asciiTheme="minorHAnsi" w:hAnsiTheme="minorHAnsi"/>
          <w:sz w:val="20"/>
          <w:szCs w:val="20"/>
        </w:rPr>
        <w:t xml:space="preserve"> et à la liste des autorités publiques centrales en droit de la commande publique</w:t>
      </w:r>
    </w:p>
    <w:p w14:paraId="3B9E5320" w14:textId="77777777" w:rsidR="00230038" w:rsidRPr="0060281D" w:rsidRDefault="00FF0E51" w:rsidP="00230038">
      <w:pPr>
        <w:pStyle w:val="Normal1"/>
        <w:numPr>
          <w:ilvl w:val="0"/>
          <w:numId w:val="18"/>
        </w:numPr>
        <w:jc w:val="both"/>
        <w:rPr>
          <w:rFonts w:asciiTheme="minorHAnsi" w:hAnsiTheme="minorHAnsi"/>
          <w:sz w:val="20"/>
          <w:szCs w:val="20"/>
        </w:rPr>
      </w:pPr>
      <w:hyperlink r:id="rId17" w:history="1">
        <w:r w:rsidR="00230038" w:rsidRPr="0060281D">
          <w:rPr>
            <w:rStyle w:val="Lienhypertexte"/>
            <w:rFonts w:asciiTheme="minorHAnsi" w:eastAsia="MS Mincho" w:hAnsiTheme="minorHAnsi"/>
            <w:sz w:val="20"/>
            <w:szCs w:val="20"/>
          </w:rPr>
          <w:t>Avis relatif à la liste des activités qui sont des travaux</w:t>
        </w:r>
      </w:hyperlink>
      <w:r w:rsidR="00230038" w:rsidRPr="0060281D">
        <w:rPr>
          <w:rFonts w:asciiTheme="minorHAnsi" w:hAnsiTheme="minorHAnsi"/>
          <w:sz w:val="20"/>
          <w:szCs w:val="20"/>
        </w:rPr>
        <w:t xml:space="preserve"> en droit de la commande publique</w:t>
      </w:r>
    </w:p>
    <w:p w14:paraId="43E7C1F9" w14:textId="77777777" w:rsidR="00230038" w:rsidRPr="0060281D" w:rsidRDefault="00230038" w:rsidP="00230038">
      <w:pPr>
        <w:pStyle w:val="Normal1"/>
        <w:numPr>
          <w:ilvl w:val="0"/>
          <w:numId w:val="18"/>
        </w:numPr>
        <w:jc w:val="both"/>
        <w:rPr>
          <w:rFonts w:asciiTheme="minorHAnsi" w:hAnsiTheme="minorHAnsi"/>
          <w:sz w:val="20"/>
          <w:szCs w:val="20"/>
        </w:rPr>
      </w:pPr>
      <w:r w:rsidRPr="0060281D">
        <w:rPr>
          <w:rFonts w:asciiTheme="minorHAnsi" w:hAnsiTheme="minorHAnsi"/>
          <w:sz w:val="20"/>
          <w:szCs w:val="20"/>
        </w:rPr>
        <w:t xml:space="preserve">Avis relatifs aux contrats de la commande publique ayant pour objet </w:t>
      </w:r>
      <w:hyperlink r:id="rId18" w:history="1">
        <w:r w:rsidRPr="0060281D">
          <w:rPr>
            <w:rStyle w:val="Lienhypertexte"/>
            <w:rFonts w:asciiTheme="minorHAnsi" w:eastAsia="MS Mincho" w:hAnsiTheme="minorHAnsi"/>
            <w:sz w:val="20"/>
            <w:szCs w:val="20"/>
          </w:rPr>
          <w:t>des services sociaux et autres services spécifiques</w:t>
        </w:r>
      </w:hyperlink>
    </w:p>
    <w:p w14:paraId="2D095502" w14:textId="77777777" w:rsidR="00230038" w:rsidRPr="0060281D" w:rsidRDefault="00230038" w:rsidP="00230038">
      <w:pPr>
        <w:pStyle w:val="Normal1"/>
        <w:numPr>
          <w:ilvl w:val="0"/>
          <w:numId w:val="18"/>
        </w:numPr>
        <w:jc w:val="both"/>
        <w:rPr>
          <w:rFonts w:asciiTheme="minorHAnsi" w:hAnsiTheme="minorHAnsi"/>
          <w:sz w:val="20"/>
          <w:szCs w:val="20"/>
        </w:rPr>
      </w:pPr>
      <w:r w:rsidRPr="0060281D">
        <w:rPr>
          <w:rFonts w:asciiTheme="minorHAnsi" w:hAnsiTheme="minorHAnsi"/>
          <w:sz w:val="20"/>
          <w:szCs w:val="20"/>
        </w:rPr>
        <w:t xml:space="preserve">Avis relatif à la liste des dispositions internationales en matière de droit environnemental, social et du travail permettant de rejeter </w:t>
      </w:r>
      <w:hyperlink r:id="rId19" w:history="1">
        <w:r w:rsidRPr="0060281D">
          <w:rPr>
            <w:rStyle w:val="Lienhypertexte"/>
            <w:rFonts w:asciiTheme="minorHAnsi" w:eastAsia="MS Mincho" w:hAnsiTheme="minorHAnsi"/>
            <w:sz w:val="20"/>
            <w:szCs w:val="20"/>
          </w:rPr>
          <w:t>une offre comme anormalement basse</w:t>
        </w:r>
      </w:hyperlink>
      <w:r w:rsidRPr="0060281D">
        <w:rPr>
          <w:rFonts w:asciiTheme="minorHAnsi" w:hAnsiTheme="minorHAnsi"/>
          <w:sz w:val="20"/>
          <w:szCs w:val="20"/>
        </w:rPr>
        <w:t xml:space="preserve"> en matière de marchés publics</w:t>
      </w:r>
    </w:p>
    <w:p w14:paraId="5A0F089D" w14:textId="77777777" w:rsidR="00230038" w:rsidRPr="0060281D" w:rsidRDefault="00230038" w:rsidP="00230038">
      <w:pPr>
        <w:pStyle w:val="Normal1"/>
        <w:numPr>
          <w:ilvl w:val="0"/>
          <w:numId w:val="18"/>
        </w:numPr>
        <w:jc w:val="both"/>
        <w:rPr>
          <w:rFonts w:asciiTheme="minorHAnsi" w:hAnsiTheme="minorHAnsi"/>
          <w:sz w:val="20"/>
          <w:szCs w:val="20"/>
        </w:rPr>
      </w:pPr>
      <w:r w:rsidRPr="0060281D">
        <w:rPr>
          <w:rFonts w:asciiTheme="minorHAnsi" w:hAnsiTheme="minorHAnsi"/>
          <w:sz w:val="20"/>
          <w:szCs w:val="20"/>
        </w:rPr>
        <w:t xml:space="preserve">Avis relatif à la nature et au contenu des </w:t>
      </w:r>
      <w:hyperlink r:id="rId20" w:history="1">
        <w:r w:rsidRPr="0060281D">
          <w:rPr>
            <w:rStyle w:val="Lienhypertexte"/>
            <w:rFonts w:asciiTheme="minorHAnsi" w:eastAsia="MS Mincho" w:hAnsiTheme="minorHAnsi"/>
            <w:sz w:val="20"/>
            <w:szCs w:val="20"/>
          </w:rPr>
          <w:t>spécifications techniques</w:t>
        </w:r>
      </w:hyperlink>
      <w:r w:rsidRPr="0060281D">
        <w:rPr>
          <w:rFonts w:asciiTheme="minorHAnsi" w:hAnsiTheme="minorHAnsi"/>
          <w:sz w:val="20"/>
          <w:szCs w:val="20"/>
        </w:rPr>
        <w:t xml:space="preserve"> dans les marchés publics</w:t>
      </w:r>
    </w:p>
    <w:p w14:paraId="0DCA558A" w14:textId="77777777" w:rsidR="002A50EC" w:rsidRDefault="00230038" w:rsidP="0060281D">
      <w:pPr>
        <w:pStyle w:val="Normal1"/>
        <w:jc w:val="both"/>
        <w:rPr>
          <w:rFonts w:asciiTheme="minorHAnsi" w:hAnsiTheme="minorHAnsi"/>
          <w:i/>
          <w:sz w:val="20"/>
          <w:szCs w:val="20"/>
        </w:rPr>
      </w:pPr>
      <w:r w:rsidRPr="00AA2206">
        <w:rPr>
          <w:rFonts w:asciiTheme="minorHAnsi" w:hAnsiTheme="minorHAnsi"/>
          <w:b/>
          <w:i/>
          <w:color w:val="FF0000"/>
          <w:sz w:val="20"/>
          <w:szCs w:val="20"/>
          <w:u w:val="single"/>
        </w:rPr>
        <w:t>/</w:t>
      </w:r>
      <w:r w:rsidR="00FE4753" w:rsidRPr="00AA2206">
        <w:rPr>
          <w:rFonts w:asciiTheme="minorHAnsi" w:hAnsiTheme="minorHAnsi"/>
          <w:b/>
          <w:i/>
          <w:color w:val="FF0000"/>
          <w:sz w:val="20"/>
          <w:szCs w:val="20"/>
          <w:u w:val="single"/>
        </w:rPr>
        <w:t> ! \</w:t>
      </w:r>
      <w:r w:rsidRPr="00AA2206">
        <w:rPr>
          <w:rFonts w:asciiTheme="minorHAnsi" w:hAnsiTheme="minorHAnsi"/>
          <w:b/>
          <w:i/>
          <w:color w:val="FF0000"/>
          <w:sz w:val="20"/>
          <w:szCs w:val="20"/>
          <w:u w:val="single"/>
        </w:rPr>
        <w:t> :</w:t>
      </w:r>
      <w:r w:rsidRPr="00FF4D08">
        <w:rPr>
          <w:rFonts w:asciiTheme="minorHAnsi" w:hAnsiTheme="minorHAnsi"/>
          <w:color w:val="FF0000"/>
          <w:sz w:val="20"/>
          <w:szCs w:val="20"/>
        </w:rPr>
        <w:t xml:space="preserve"> </w:t>
      </w:r>
      <w:r w:rsidRPr="00FF4D08">
        <w:rPr>
          <w:rFonts w:asciiTheme="minorHAnsi" w:hAnsiTheme="minorHAnsi"/>
          <w:b/>
          <w:i/>
          <w:sz w:val="20"/>
          <w:szCs w:val="20"/>
        </w:rPr>
        <w:t>Ces textes s’appliquent depuis le 1</w:t>
      </w:r>
      <w:r w:rsidRPr="00FF4D08">
        <w:rPr>
          <w:rFonts w:asciiTheme="minorHAnsi" w:hAnsiTheme="minorHAnsi"/>
          <w:b/>
          <w:i/>
          <w:sz w:val="20"/>
          <w:szCs w:val="20"/>
          <w:vertAlign w:val="superscript"/>
        </w:rPr>
        <w:t>er</w:t>
      </w:r>
      <w:r w:rsidRPr="00FF4D08">
        <w:rPr>
          <w:rFonts w:asciiTheme="minorHAnsi" w:hAnsiTheme="minorHAnsi"/>
          <w:b/>
          <w:i/>
          <w:sz w:val="20"/>
          <w:szCs w:val="20"/>
        </w:rPr>
        <w:t xml:space="preserve"> avril 2016,</w:t>
      </w:r>
      <w:r w:rsidRPr="00FF4D08">
        <w:rPr>
          <w:rFonts w:asciiTheme="minorHAnsi" w:hAnsiTheme="minorHAnsi"/>
          <w:i/>
          <w:sz w:val="20"/>
          <w:szCs w:val="20"/>
        </w:rPr>
        <w:t xml:space="preserve"> </w:t>
      </w:r>
      <w:r w:rsidRPr="00C25BA7">
        <w:rPr>
          <w:rFonts w:asciiTheme="minorHAnsi" w:hAnsiTheme="minorHAnsi"/>
          <w:i/>
          <w:sz w:val="20"/>
          <w:szCs w:val="20"/>
        </w:rPr>
        <w:t>les marchés dont la consultation a été lancée avant le 1</w:t>
      </w:r>
      <w:r w:rsidRPr="00C25BA7">
        <w:rPr>
          <w:rFonts w:asciiTheme="minorHAnsi" w:hAnsiTheme="minorHAnsi"/>
          <w:i/>
          <w:sz w:val="20"/>
          <w:szCs w:val="20"/>
          <w:vertAlign w:val="superscript"/>
        </w:rPr>
        <w:t>er</w:t>
      </w:r>
      <w:r w:rsidRPr="00C25BA7">
        <w:rPr>
          <w:rFonts w:asciiTheme="minorHAnsi" w:hAnsiTheme="minorHAnsi"/>
          <w:i/>
          <w:sz w:val="20"/>
          <w:szCs w:val="20"/>
        </w:rPr>
        <w:t xml:space="preserve"> avril, et ceux en cours d’exécution ne sont donc pas concernés par ces nouvelles dispositions.</w:t>
      </w:r>
      <w:r w:rsidRPr="00230038">
        <w:rPr>
          <w:rFonts w:asciiTheme="minorHAnsi" w:hAnsiTheme="minorHAnsi"/>
          <w:sz w:val="20"/>
          <w:szCs w:val="20"/>
        </w:rPr>
        <w:t xml:space="preserve">  </w:t>
      </w:r>
      <w:r w:rsidR="0056759A" w:rsidRPr="0056759A">
        <w:rPr>
          <w:rFonts w:asciiTheme="minorHAnsi" w:hAnsiTheme="minorHAnsi"/>
          <w:i/>
          <w:sz w:val="20"/>
          <w:szCs w:val="20"/>
        </w:rPr>
        <w:t xml:space="preserve">En effet, pour tous les marchés </w:t>
      </w:r>
      <w:r w:rsidR="00486DDF">
        <w:rPr>
          <w:rFonts w:asciiTheme="minorHAnsi" w:hAnsiTheme="minorHAnsi"/>
          <w:i/>
          <w:sz w:val="20"/>
          <w:szCs w:val="20"/>
        </w:rPr>
        <w:t>dont la consultation a été lancée</w:t>
      </w:r>
      <w:r w:rsidR="0056759A" w:rsidRPr="0056759A">
        <w:rPr>
          <w:rFonts w:asciiTheme="minorHAnsi" w:hAnsiTheme="minorHAnsi"/>
          <w:i/>
          <w:sz w:val="20"/>
          <w:szCs w:val="20"/>
        </w:rPr>
        <w:t xml:space="preserve"> avant le 1</w:t>
      </w:r>
      <w:r w:rsidR="0056759A" w:rsidRPr="0056759A">
        <w:rPr>
          <w:rFonts w:asciiTheme="minorHAnsi" w:hAnsiTheme="minorHAnsi"/>
          <w:i/>
          <w:sz w:val="20"/>
          <w:szCs w:val="20"/>
          <w:vertAlign w:val="superscript"/>
        </w:rPr>
        <w:t>er</w:t>
      </w:r>
      <w:r w:rsidR="0056759A" w:rsidRPr="0056759A">
        <w:rPr>
          <w:rFonts w:asciiTheme="minorHAnsi" w:hAnsiTheme="minorHAnsi"/>
          <w:i/>
          <w:sz w:val="20"/>
          <w:szCs w:val="20"/>
        </w:rPr>
        <w:t xml:space="preserve"> avril 2016 i</w:t>
      </w:r>
      <w:r w:rsidR="00110138">
        <w:rPr>
          <w:rFonts w:asciiTheme="minorHAnsi" w:hAnsiTheme="minorHAnsi"/>
          <w:i/>
          <w:sz w:val="20"/>
          <w:szCs w:val="20"/>
        </w:rPr>
        <w:t>l</w:t>
      </w:r>
      <w:r w:rsidR="0056759A" w:rsidRPr="0056759A">
        <w:rPr>
          <w:rFonts w:asciiTheme="minorHAnsi" w:hAnsiTheme="minorHAnsi"/>
          <w:i/>
          <w:sz w:val="20"/>
          <w:szCs w:val="20"/>
        </w:rPr>
        <w:t xml:space="preserve"> convient </w:t>
      </w:r>
      <w:r w:rsidR="00AD7973">
        <w:rPr>
          <w:rFonts w:asciiTheme="minorHAnsi" w:hAnsiTheme="minorHAnsi"/>
          <w:i/>
          <w:sz w:val="20"/>
          <w:szCs w:val="20"/>
        </w:rPr>
        <w:t>de se référer aux textes précédant</w:t>
      </w:r>
      <w:r w:rsidR="0056759A">
        <w:rPr>
          <w:rFonts w:asciiTheme="minorHAnsi" w:hAnsiTheme="minorHAnsi"/>
          <w:i/>
          <w:sz w:val="20"/>
          <w:szCs w:val="20"/>
        </w:rPr>
        <w:t xml:space="preserve"> la nouvelle régle</w:t>
      </w:r>
      <w:r w:rsidR="00ED7ED5">
        <w:rPr>
          <w:rFonts w:asciiTheme="minorHAnsi" w:hAnsiTheme="minorHAnsi"/>
          <w:i/>
          <w:sz w:val="20"/>
          <w:szCs w:val="20"/>
        </w:rPr>
        <w:t>mentation en vigueur</w:t>
      </w:r>
      <w:r w:rsidR="0056759A" w:rsidRPr="0056759A">
        <w:rPr>
          <w:rFonts w:asciiTheme="minorHAnsi" w:hAnsiTheme="minorHAnsi"/>
          <w:i/>
          <w:sz w:val="20"/>
          <w:szCs w:val="20"/>
        </w:rPr>
        <w:t xml:space="preserve">. </w:t>
      </w:r>
    </w:p>
    <w:p w14:paraId="26405531" w14:textId="77777777" w:rsidR="0060281D" w:rsidRDefault="0060281D" w:rsidP="0060281D">
      <w:pPr>
        <w:pStyle w:val="Normal1"/>
        <w:jc w:val="both"/>
        <w:rPr>
          <w:rFonts w:asciiTheme="minorHAnsi" w:hAnsiTheme="minorHAnsi"/>
          <w:i/>
          <w:sz w:val="20"/>
          <w:szCs w:val="20"/>
        </w:rPr>
      </w:pPr>
      <w:r>
        <w:rPr>
          <w:rFonts w:asciiTheme="minorHAnsi" w:hAnsiTheme="minorHAnsi"/>
          <w:i/>
          <w:sz w:val="20"/>
          <w:szCs w:val="20"/>
        </w:rPr>
        <w:t>Pour rappel, avant le 1</w:t>
      </w:r>
      <w:r w:rsidRPr="0060281D">
        <w:rPr>
          <w:rFonts w:asciiTheme="minorHAnsi" w:hAnsiTheme="minorHAnsi"/>
          <w:i/>
          <w:sz w:val="20"/>
          <w:szCs w:val="20"/>
          <w:vertAlign w:val="superscript"/>
        </w:rPr>
        <w:t>er</w:t>
      </w:r>
      <w:r>
        <w:rPr>
          <w:rFonts w:asciiTheme="minorHAnsi" w:hAnsiTheme="minorHAnsi"/>
          <w:i/>
          <w:sz w:val="20"/>
          <w:szCs w:val="20"/>
        </w:rPr>
        <w:t xml:space="preserve"> avril 2016, c</w:t>
      </w:r>
      <w:r w:rsidRPr="0060281D">
        <w:rPr>
          <w:rFonts w:asciiTheme="minorHAnsi" w:hAnsiTheme="minorHAnsi"/>
          <w:i/>
          <w:sz w:val="20"/>
          <w:szCs w:val="20"/>
        </w:rPr>
        <w:t>ertains organismes n</w:t>
      </w:r>
      <w:r>
        <w:rPr>
          <w:rFonts w:asciiTheme="minorHAnsi" w:hAnsiTheme="minorHAnsi"/>
          <w:i/>
          <w:sz w:val="20"/>
          <w:szCs w:val="20"/>
        </w:rPr>
        <w:t xml:space="preserve">’étaient </w:t>
      </w:r>
      <w:r w:rsidRPr="0060281D">
        <w:rPr>
          <w:rFonts w:asciiTheme="minorHAnsi" w:hAnsiTheme="minorHAnsi"/>
          <w:i/>
          <w:sz w:val="20"/>
          <w:szCs w:val="20"/>
        </w:rPr>
        <w:t xml:space="preserve">pas soumis au code des marchés publics mais </w:t>
      </w:r>
      <w:r w:rsidR="001E054E">
        <w:rPr>
          <w:rFonts w:asciiTheme="minorHAnsi" w:hAnsiTheme="minorHAnsi"/>
          <w:i/>
          <w:sz w:val="20"/>
          <w:szCs w:val="20"/>
        </w:rPr>
        <w:t>relevaient</w:t>
      </w:r>
      <w:r w:rsidRPr="0060281D">
        <w:rPr>
          <w:rFonts w:asciiTheme="minorHAnsi" w:hAnsiTheme="minorHAnsi"/>
          <w:i/>
          <w:sz w:val="20"/>
          <w:szCs w:val="20"/>
        </w:rPr>
        <w:t xml:space="preserve"> du régime de l’ordonnance n° 2005-649 du 6 juin 2005 relative aux marchés passés par certaines personnes publiques ou privées non soumises au code des marchés publics.</w:t>
      </w:r>
      <w:r>
        <w:rPr>
          <w:rFonts w:asciiTheme="minorHAnsi" w:hAnsiTheme="minorHAnsi"/>
          <w:i/>
          <w:sz w:val="20"/>
          <w:szCs w:val="20"/>
        </w:rPr>
        <w:t xml:space="preserve"> </w:t>
      </w:r>
      <w:r w:rsidRPr="0060281D">
        <w:rPr>
          <w:rFonts w:asciiTheme="minorHAnsi" w:hAnsiTheme="minorHAnsi"/>
          <w:i/>
          <w:sz w:val="20"/>
          <w:szCs w:val="20"/>
        </w:rPr>
        <w:t>Ces organismes sont les pou</w:t>
      </w:r>
      <w:r>
        <w:rPr>
          <w:rFonts w:asciiTheme="minorHAnsi" w:hAnsiTheme="minorHAnsi"/>
          <w:i/>
          <w:sz w:val="20"/>
          <w:szCs w:val="20"/>
        </w:rPr>
        <w:t>voirs adjudicateurs définis à l’</w:t>
      </w:r>
      <w:r w:rsidRPr="0060281D">
        <w:rPr>
          <w:rFonts w:asciiTheme="minorHAnsi" w:hAnsiTheme="minorHAnsi"/>
          <w:i/>
          <w:sz w:val="20"/>
          <w:szCs w:val="20"/>
        </w:rPr>
        <w:t>art. 3 ainsi que les entit</w:t>
      </w:r>
      <w:r>
        <w:rPr>
          <w:rFonts w:asciiTheme="minorHAnsi" w:hAnsiTheme="minorHAnsi"/>
          <w:i/>
          <w:sz w:val="20"/>
          <w:szCs w:val="20"/>
        </w:rPr>
        <w:t>és adjudicatrices définies à l'</w:t>
      </w:r>
      <w:r w:rsidRPr="0060281D">
        <w:rPr>
          <w:rFonts w:asciiTheme="minorHAnsi" w:hAnsiTheme="minorHAnsi"/>
          <w:i/>
          <w:sz w:val="20"/>
          <w:szCs w:val="20"/>
        </w:rPr>
        <w:t>art. 4 de l'ordonna</w:t>
      </w:r>
      <w:r>
        <w:rPr>
          <w:rFonts w:asciiTheme="minorHAnsi" w:hAnsiTheme="minorHAnsi"/>
          <w:i/>
          <w:sz w:val="20"/>
          <w:szCs w:val="20"/>
        </w:rPr>
        <w:t>nce n° 2005-649 du 6 juin 2005.</w:t>
      </w:r>
    </w:p>
    <w:p w14:paraId="0D110C46" w14:textId="77777777" w:rsidR="0060281D" w:rsidRDefault="0060281D" w:rsidP="0060281D">
      <w:pPr>
        <w:pStyle w:val="Normal1"/>
        <w:jc w:val="both"/>
        <w:rPr>
          <w:rFonts w:asciiTheme="minorHAnsi" w:hAnsiTheme="minorHAnsi"/>
          <w:i/>
          <w:sz w:val="20"/>
          <w:szCs w:val="20"/>
        </w:rPr>
      </w:pPr>
      <w:r>
        <w:rPr>
          <w:rFonts w:asciiTheme="minorHAnsi" w:hAnsiTheme="minorHAnsi"/>
          <w:i/>
          <w:sz w:val="20"/>
          <w:szCs w:val="20"/>
        </w:rPr>
        <w:t>Ainsi pour tous les marchés dont la consultation a été lancée avant le 1</w:t>
      </w:r>
      <w:r w:rsidRPr="0060281D">
        <w:rPr>
          <w:rFonts w:asciiTheme="minorHAnsi" w:hAnsiTheme="minorHAnsi"/>
          <w:i/>
          <w:sz w:val="20"/>
          <w:szCs w:val="20"/>
          <w:vertAlign w:val="superscript"/>
        </w:rPr>
        <w:t>er</w:t>
      </w:r>
      <w:r>
        <w:rPr>
          <w:rFonts w:asciiTheme="minorHAnsi" w:hAnsiTheme="minorHAnsi"/>
          <w:i/>
          <w:sz w:val="20"/>
          <w:szCs w:val="20"/>
        </w:rPr>
        <w:t xml:space="preserve"> avril 2016, il convient de se référer aux anciens textes, c’est-à-dire le code des marchés publics de 2006 ainsi que l’ordonnance du 6 juin 2005. </w:t>
      </w:r>
    </w:p>
    <w:p w14:paraId="62109A3E" w14:textId="77777777" w:rsidR="00D52390" w:rsidRPr="00E72685" w:rsidRDefault="00624E00" w:rsidP="00D52390">
      <w:pPr>
        <w:tabs>
          <w:tab w:val="left" w:pos="567"/>
        </w:tabs>
        <w:rPr>
          <w:rFonts w:eastAsia="Times New Roman" w:cs="Times New Roman"/>
          <w:szCs w:val="20"/>
          <w:lang w:eastAsia="fr-FR"/>
        </w:rPr>
      </w:pPr>
      <w:r>
        <w:rPr>
          <w:b/>
          <w:i/>
          <w:color w:val="FF0000"/>
          <w:szCs w:val="20"/>
          <w:u w:val="single"/>
        </w:rPr>
        <w:t>N.B :</w:t>
      </w:r>
      <w:r w:rsidR="00272CD1">
        <w:rPr>
          <w:rFonts w:eastAsia="Times New Roman" w:cs="Times New Roman"/>
          <w:szCs w:val="20"/>
          <w:lang w:eastAsia="fr-FR"/>
        </w:rPr>
        <w:t xml:space="preserve"> </w:t>
      </w:r>
      <w:r w:rsidR="00D52390">
        <w:rPr>
          <w:rFonts w:eastAsia="Times New Roman" w:cs="Times New Roman"/>
          <w:szCs w:val="20"/>
          <w:lang w:eastAsia="fr-FR"/>
        </w:rPr>
        <w:t>l</w:t>
      </w:r>
      <w:r w:rsidR="00D52390" w:rsidRPr="00E72685">
        <w:rPr>
          <w:rFonts w:eastAsia="Times New Roman" w:cs="Times New Roman"/>
          <w:szCs w:val="20"/>
          <w:lang w:eastAsia="fr-FR"/>
        </w:rPr>
        <w:t xml:space="preserve">e 5 décembre 2018, le code de la commande publique a été publié au Journal Officiel de la République Française (JORF). Il comprend 1747 articles qui regroupent l’ensemble des textes applicables aux contrats de la commande publique. Il est entré en vigueur le 1e avril 2019. A partir de cette date, sont donc applicables : </w:t>
      </w:r>
    </w:p>
    <w:p w14:paraId="31FA1AEF" w14:textId="77777777" w:rsidR="00D52390" w:rsidRPr="00E72685" w:rsidRDefault="00D52390" w:rsidP="00D52390">
      <w:pPr>
        <w:numPr>
          <w:ilvl w:val="0"/>
          <w:numId w:val="41"/>
        </w:numPr>
        <w:tabs>
          <w:tab w:val="left" w:pos="567"/>
        </w:tabs>
        <w:spacing w:line="240" w:lineRule="auto"/>
        <w:jc w:val="left"/>
        <w:rPr>
          <w:rFonts w:eastAsia="Times New Roman" w:cs="Times New Roman"/>
          <w:szCs w:val="20"/>
          <w:lang w:eastAsia="fr-FR"/>
        </w:rPr>
      </w:pPr>
      <w:r w:rsidRPr="00E72685">
        <w:rPr>
          <w:rFonts w:eastAsia="Times New Roman" w:cs="Times New Roman"/>
          <w:szCs w:val="20"/>
          <w:lang w:eastAsia="fr-FR"/>
        </w:rPr>
        <w:t>Ordonnance n°2018-1074 du 26 novembre 2018 portant partie législative du code de la commande publique</w:t>
      </w:r>
      <w:r w:rsidR="00244C1D">
        <w:rPr>
          <w:rFonts w:eastAsia="Times New Roman" w:cs="Times New Roman"/>
          <w:szCs w:val="20"/>
          <w:lang w:eastAsia="fr-FR"/>
        </w:rPr>
        <w:t>,</w:t>
      </w:r>
    </w:p>
    <w:p w14:paraId="62E81791" w14:textId="77777777" w:rsidR="00D52390" w:rsidRPr="00E72685" w:rsidRDefault="00D52390" w:rsidP="00D52390">
      <w:pPr>
        <w:numPr>
          <w:ilvl w:val="0"/>
          <w:numId w:val="41"/>
        </w:numPr>
        <w:tabs>
          <w:tab w:val="left" w:pos="567"/>
        </w:tabs>
        <w:spacing w:line="240" w:lineRule="auto"/>
        <w:jc w:val="left"/>
        <w:rPr>
          <w:rFonts w:eastAsia="Times New Roman" w:cs="Times New Roman"/>
          <w:szCs w:val="20"/>
          <w:lang w:eastAsia="fr-FR"/>
        </w:rPr>
      </w:pPr>
      <w:r w:rsidRPr="00E72685">
        <w:rPr>
          <w:rFonts w:eastAsia="Times New Roman" w:cs="Times New Roman"/>
          <w:szCs w:val="20"/>
          <w:lang w:eastAsia="fr-FR"/>
        </w:rPr>
        <w:t>Décret n°2018-1075 du 3 décembre 2018 portant partie règlementaire du code de la commande publique</w:t>
      </w:r>
      <w:r w:rsidR="00244C1D">
        <w:rPr>
          <w:rFonts w:eastAsia="Times New Roman" w:cs="Times New Roman"/>
          <w:szCs w:val="20"/>
          <w:lang w:eastAsia="fr-FR"/>
        </w:rPr>
        <w:t>.</w:t>
      </w:r>
    </w:p>
    <w:p w14:paraId="14C45DEF" w14:textId="77777777" w:rsidR="000E1D86" w:rsidRDefault="000E1D86" w:rsidP="00AD7973">
      <w:pPr>
        <w:pStyle w:val="Normalgrasvertcentre"/>
        <w:spacing w:after="0" w:line="240" w:lineRule="auto"/>
        <w:ind w:left="0"/>
        <w:rPr>
          <w:sz w:val="24"/>
          <w:szCs w:val="24"/>
        </w:rPr>
      </w:pPr>
    </w:p>
    <w:p w14:paraId="455E6FC9" w14:textId="618A6151" w:rsidR="00B900E6" w:rsidRPr="00AD7973" w:rsidRDefault="00DD10EB" w:rsidP="00AD7973">
      <w:pPr>
        <w:pStyle w:val="Normalgrasvertcentre"/>
        <w:spacing w:after="0" w:line="240" w:lineRule="auto"/>
        <w:ind w:left="0"/>
        <w:rPr>
          <w:sz w:val="24"/>
          <w:szCs w:val="24"/>
        </w:rPr>
      </w:pPr>
      <w:r>
        <w:rPr>
          <w:sz w:val="24"/>
          <w:szCs w:val="24"/>
        </w:rPr>
        <w:t xml:space="preserve">B - </w:t>
      </w:r>
      <w:r w:rsidR="002A50EC" w:rsidRPr="00AD7973">
        <w:rPr>
          <w:sz w:val="24"/>
          <w:szCs w:val="24"/>
        </w:rPr>
        <w:t>Mise en œuvre et application</w:t>
      </w:r>
      <w:r w:rsidR="00AD7973">
        <w:rPr>
          <w:sz w:val="24"/>
          <w:szCs w:val="24"/>
        </w:rPr>
        <w:t xml:space="preserve"> : </w:t>
      </w:r>
    </w:p>
    <w:p w14:paraId="52F34D35" w14:textId="77777777" w:rsidR="001B698F" w:rsidRPr="00AD7973" w:rsidRDefault="00C14133" w:rsidP="00AD7973">
      <w:pPr>
        <w:pStyle w:val="Normalgrasvertcentre"/>
        <w:spacing w:after="0" w:line="240" w:lineRule="auto"/>
        <w:ind w:left="0"/>
        <w:rPr>
          <w:i/>
          <w:sz w:val="24"/>
          <w:szCs w:val="24"/>
        </w:rPr>
      </w:pPr>
      <w:r w:rsidRPr="00AD7973">
        <w:rPr>
          <w:i/>
          <w:sz w:val="24"/>
          <w:szCs w:val="24"/>
        </w:rPr>
        <w:t>Contrôle de la régularité du marché dans le cas d’une opération</w:t>
      </w:r>
      <w:r w:rsidR="00A644BE" w:rsidRPr="00AD7973">
        <w:rPr>
          <w:i/>
          <w:sz w:val="24"/>
          <w:szCs w:val="24"/>
        </w:rPr>
        <w:t xml:space="preserve"> cofinancé</w:t>
      </w:r>
      <w:r w:rsidR="00AD7973">
        <w:rPr>
          <w:i/>
          <w:sz w:val="24"/>
          <w:szCs w:val="24"/>
        </w:rPr>
        <w:t>e</w:t>
      </w:r>
      <w:r w:rsidR="00A644BE" w:rsidRPr="00AD7973">
        <w:rPr>
          <w:i/>
          <w:sz w:val="24"/>
          <w:szCs w:val="24"/>
        </w:rPr>
        <w:t xml:space="preserve"> par les</w:t>
      </w:r>
      <w:r w:rsidRPr="00AD7973">
        <w:rPr>
          <w:i/>
          <w:sz w:val="24"/>
          <w:szCs w:val="24"/>
        </w:rPr>
        <w:t xml:space="preserve"> FESI</w:t>
      </w:r>
      <w:r w:rsidR="00B136A9" w:rsidRPr="00AD7973">
        <w:rPr>
          <w:i/>
          <w:sz w:val="24"/>
          <w:szCs w:val="24"/>
        </w:rPr>
        <w:t> </w:t>
      </w:r>
    </w:p>
    <w:p w14:paraId="5AE5C644" w14:textId="77777777" w:rsidR="0056759A" w:rsidRDefault="0056759A" w:rsidP="00B900E6"/>
    <w:p w14:paraId="3BF3FAA4" w14:textId="2A9C57E4" w:rsidR="00CA7569" w:rsidRPr="00C14133" w:rsidRDefault="0098389B" w:rsidP="00837870">
      <w:pPr>
        <w:rPr>
          <w:b/>
        </w:rPr>
      </w:pPr>
      <w:r w:rsidRPr="00C14133">
        <w:rPr>
          <w:b/>
        </w:rPr>
        <w:t xml:space="preserve">1 </w:t>
      </w:r>
      <w:r w:rsidR="001B698F" w:rsidRPr="00C14133">
        <w:rPr>
          <w:b/>
        </w:rPr>
        <w:t>–</w:t>
      </w:r>
      <w:r w:rsidRPr="00C14133">
        <w:rPr>
          <w:b/>
        </w:rPr>
        <w:t xml:space="preserve"> </w:t>
      </w:r>
      <w:r w:rsidR="001B698F" w:rsidRPr="00C14133">
        <w:rPr>
          <w:b/>
        </w:rPr>
        <w:t>Identification des règles applicables dans la mise en œuvre de l’opération</w:t>
      </w:r>
      <w:r w:rsidR="004E3837" w:rsidRPr="00C14133">
        <w:rPr>
          <w:b/>
        </w:rPr>
        <w:t xml:space="preserve"> : </w:t>
      </w:r>
      <w:r w:rsidR="00793B12" w:rsidRPr="00C14133">
        <w:rPr>
          <w:b/>
        </w:rPr>
        <w:t xml:space="preserve">Le porteur de projet est-il soumis </w:t>
      </w:r>
      <w:r w:rsidR="00486DDF">
        <w:rPr>
          <w:b/>
        </w:rPr>
        <w:t xml:space="preserve">aux règles de la commande publique </w:t>
      </w:r>
      <w:r w:rsidR="00793B12" w:rsidRPr="00C14133">
        <w:rPr>
          <w:b/>
        </w:rPr>
        <w:t xml:space="preserve">? </w:t>
      </w:r>
      <w:r w:rsidR="00F53F8C">
        <w:rPr>
          <w:b/>
        </w:rPr>
        <w:t xml:space="preserve"> Le contrat est-il un marché public ? </w:t>
      </w:r>
    </w:p>
    <w:p w14:paraId="19E33A8D" w14:textId="77777777" w:rsidR="0056759A" w:rsidRDefault="0056759A" w:rsidP="00837870"/>
    <w:p w14:paraId="3D49E5F3" w14:textId="77777777" w:rsidR="00CA2C21" w:rsidRDefault="00CA2C21" w:rsidP="004E3837">
      <w:r>
        <w:lastRenderedPageBreak/>
        <w:t>Dans un premier temps, il convient</w:t>
      </w:r>
      <w:r w:rsidR="00FF4D08">
        <w:t xml:space="preserve"> de vérifier que</w:t>
      </w:r>
      <w:r w:rsidRPr="00CA2C21">
        <w:t xml:space="preserve"> la structure répond au</w:t>
      </w:r>
      <w:r w:rsidR="00110138">
        <w:t>x</w:t>
      </w:r>
      <w:r w:rsidRPr="00CA2C21">
        <w:t xml:space="preserve"> critère</w:t>
      </w:r>
      <w:r w:rsidR="00110138">
        <w:t>s définis</w:t>
      </w:r>
      <w:r w:rsidR="00AD7973">
        <w:t xml:space="preserve"> aux </w:t>
      </w:r>
      <w:r w:rsidRPr="00CA2C21">
        <w:t>article</w:t>
      </w:r>
      <w:r w:rsidR="00AD7973">
        <w:t>s</w:t>
      </w:r>
      <w:r w:rsidRPr="00CA2C21">
        <w:t xml:space="preserve"> 9, 10 et 11</w:t>
      </w:r>
      <w:r>
        <w:t xml:space="preserve"> </w:t>
      </w:r>
      <w:r w:rsidRPr="00CA2C21">
        <w:t>de l’ordonna</w:t>
      </w:r>
      <w:r w:rsidR="00AD7973">
        <w:t>nce du 23 juillet 2015 relative</w:t>
      </w:r>
      <w:r w:rsidRPr="00CA2C21">
        <w:t xml:space="preserve"> aux marchés publics</w:t>
      </w:r>
      <w:r>
        <w:rPr>
          <w:rStyle w:val="Appelnotedebasdep"/>
        </w:rPr>
        <w:footnoteReference w:id="3"/>
      </w:r>
      <w:r w:rsidRPr="00CA2C21">
        <w:t xml:space="preserve">. </w:t>
      </w:r>
      <w:r>
        <w:t>S’il s’avère que la structure est soumise à l’ordonnance</w:t>
      </w:r>
      <w:r w:rsidR="004E3837">
        <w:t>,</w:t>
      </w:r>
      <w:r>
        <w:t xml:space="preserve"> cela ne signifie pas nécessaire</w:t>
      </w:r>
      <w:r w:rsidR="00110138">
        <w:t>ment</w:t>
      </w:r>
      <w:r>
        <w:t xml:space="preserve"> qu’un marché public doit être passé. Pour vérifier cela,</w:t>
      </w:r>
      <w:r w:rsidR="004E3837">
        <w:t xml:space="preserve"> il est </w:t>
      </w:r>
      <w:r w:rsidR="00110138">
        <w:t>essentiel</w:t>
      </w:r>
      <w:r w:rsidR="004E3837">
        <w:t xml:space="preserve"> de </w:t>
      </w:r>
      <w:r w:rsidR="00110138">
        <w:t>connaître</w:t>
      </w:r>
      <w:r w:rsidR="004E3837">
        <w:t xml:space="preserve"> </w:t>
      </w:r>
      <w:r w:rsidR="00110138">
        <w:t xml:space="preserve">celui </w:t>
      </w:r>
      <w:r>
        <w:t>qui est à l’origine de la demande</w:t>
      </w:r>
      <w:r w:rsidR="00110138">
        <w:t xml:space="preserve"> et</w:t>
      </w:r>
      <w:r>
        <w:t xml:space="preserve"> qui a exprimé le besoin</w:t>
      </w:r>
      <w:r w:rsidR="004E3837">
        <w:t xml:space="preserve">. En effet, dans le cadre d’un marché public, le titulaire du marché agira à la demande du pouvoir </w:t>
      </w:r>
      <w:r>
        <w:t>adjudicateur</w:t>
      </w:r>
      <w:r w:rsidR="004E3837">
        <w:t xml:space="preserve">. </w:t>
      </w:r>
      <w:r w:rsidR="00FF4D08">
        <w:t>Alors que</w:t>
      </w:r>
      <w:r w:rsidR="004E3837">
        <w:t>, dans le cadre d’une s</w:t>
      </w:r>
      <w:r w:rsidR="0068687E">
        <w:t xml:space="preserve">ubvention, le </w:t>
      </w:r>
      <w:r w:rsidR="004E3837">
        <w:t xml:space="preserve">pouvoir adjudicateur </w:t>
      </w:r>
      <w:r w:rsidR="0022421C">
        <w:t xml:space="preserve">n’attend aucune contribution directe du porteur de projet, contrairement à un marché public. </w:t>
      </w:r>
    </w:p>
    <w:p w14:paraId="570773FE" w14:textId="77777777" w:rsidR="0022421C" w:rsidRDefault="0022421C" w:rsidP="004E3837">
      <w:r>
        <w:t xml:space="preserve">Par conséquent, si </w:t>
      </w:r>
      <w:r w:rsidR="0068687E">
        <w:t>la</w:t>
      </w:r>
      <w:r>
        <w:t xml:space="preserve"> structure </w:t>
      </w:r>
      <w:r w:rsidR="0068687E">
        <w:t xml:space="preserve">est </w:t>
      </w:r>
      <w:r>
        <w:t xml:space="preserve">soumise à l’ordonnance du 23 juillet 2015, </w:t>
      </w:r>
      <w:r w:rsidR="0068687E">
        <w:t>est</w:t>
      </w:r>
      <w:r>
        <w:t xml:space="preserve"> à l’origine de la demande et qu’une contrepartie d</w:t>
      </w:r>
      <w:r w:rsidR="0068687E">
        <w:t>irecte est attendue, alors la règlementation</w:t>
      </w:r>
      <w:r>
        <w:t xml:space="preserve"> des marchés publics</w:t>
      </w:r>
      <w:r w:rsidR="0068687E">
        <w:t xml:space="preserve"> s’applique</w:t>
      </w:r>
      <w:r>
        <w:t xml:space="preserve">. </w:t>
      </w:r>
    </w:p>
    <w:p w14:paraId="53F9B382" w14:textId="77777777" w:rsidR="0022421C" w:rsidRPr="00AA2206" w:rsidRDefault="0022421C" w:rsidP="004E3837">
      <w:pPr>
        <w:rPr>
          <w:i/>
        </w:rPr>
      </w:pPr>
      <w:r w:rsidRPr="00AA2206">
        <w:rPr>
          <w:i/>
          <w:color w:val="FF0000"/>
          <w:u w:val="single"/>
        </w:rPr>
        <w:t xml:space="preserve"> </w:t>
      </w:r>
      <w:r w:rsidRPr="00AA2206">
        <w:rPr>
          <w:b/>
          <w:i/>
          <w:color w:val="FF0000"/>
          <w:u w:val="single"/>
        </w:rPr>
        <w:t>/</w:t>
      </w:r>
      <w:r w:rsidR="00956DEF" w:rsidRPr="00AA2206">
        <w:rPr>
          <w:b/>
          <w:i/>
          <w:color w:val="FF0000"/>
          <w:u w:val="single"/>
        </w:rPr>
        <w:t> ! \</w:t>
      </w:r>
      <w:r w:rsidRPr="00AA2206">
        <w:rPr>
          <w:b/>
          <w:i/>
          <w:color w:val="FF0000"/>
        </w:rPr>
        <w:t> :</w:t>
      </w:r>
      <w:r w:rsidRPr="00AA2206">
        <w:rPr>
          <w:i/>
          <w:color w:val="FF0000"/>
        </w:rPr>
        <w:t xml:space="preserve"> </w:t>
      </w:r>
      <w:r w:rsidR="00CA2C21" w:rsidRPr="00AA2206">
        <w:rPr>
          <w:i/>
        </w:rPr>
        <w:t xml:space="preserve">Pour en savoir plus, </w:t>
      </w:r>
      <w:r w:rsidRPr="00AA2206">
        <w:rPr>
          <w:i/>
        </w:rPr>
        <w:t xml:space="preserve">vous pouvez consulter la fiche de la DAJ « Marchés Publics et autres contrats ». </w:t>
      </w:r>
      <w:r w:rsidRPr="00AA2206">
        <w:rPr>
          <w:rStyle w:val="Appelnotedebasdep"/>
          <w:i/>
        </w:rPr>
        <w:footnoteReference w:id="4"/>
      </w:r>
    </w:p>
    <w:p w14:paraId="2D687312" w14:textId="77777777" w:rsidR="00837870" w:rsidRDefault="00837870" w:rsidP="00B900E6"/>
    <w:p w14:paraId="1B134226" w14:textId="77777777" w:rsidR="00E07A52" w:rsidRDefault="00E07A52" w:rsidP="00B900E6">
      <w:r>
        <w:t xml:space="preserve">Si le porteur de projet est effectivement soumis à l’ordonnance du 23 juillet 2015 relative aux marchés publics, l’instructeur devra alors vérifier les différents points suivants : </w:t>
      </w:r>
    </w:p>
    <w:p w14:paraId="4CDD5FA8" w14:textId="77777777" w:rsidR="0098389B" w:rsidRDefault="0098389B" w:rsidP="00CF3E32"/>
    <w:p w14:paraId="63AB7E2E" w14:textId="77777777" w:rsidR="0098389B" w:rsidRPr="00C14133" w:rsidRDefault="0098389B" w:rsidP="00CF3E32">
      <w:pPr>
        <w:rPr>
          <w:b/>
        </w:rPr>
      </w:pPr>
      <w:r w:rsidRPr="00C14133">
        <w:rPr>
          <w:b/>
        </w:rPr>
        <w:t>2 – Vérification de l’objet du marché</w:t>
      </w:r>
      <w:r w:rsidR="00F53F8C">
        <w:rPr>
          <w:b/>
        </w:rPr>
        <w:t xml:space="preserve">. </w:t>
      </w:r>
      <w:r w:rsidR="00F53F8C" w:rsidRPr="00F53F8C">
        <w:rPr>
          <w:b/>
        </w:rPr>
        <w:t>Le pouvoir adjudicateur a-t-il décrit de façon suffisante la prestation attendue ?</w:t>
      </w:r>
      <w:r w:rsidRPr="00C14133">
        <w:rPr>
          <w:b/>
        </w:rPr>
        <w:t xml:space="preserve"> </w:t>
      </w:r>
      <w:r w:rsidR="00E355AB">
        <w:rPr>
          <w:b/>
        </w:rPr>
        <w:t>(A</w:t>
      </w:r>
      <w:r w:rsidR="003D0BF3">
        <w:rPr>
          <w:b/>
        </w:rPr>
        <w:t>u plus tard à</w:t>
      </w:r>
      <w:r w:rsidR="00E355AB">
        <w:rPr>
          <w:b/>
        </w:rPr>
        <w:t xml:space="preserve"> la demande de paiement)</w:t>
      </w:r>
    </w:p>
    <w:p w14:paraId="451495DC" w14:textId="77777777" w:rsidR="0098389B" w:rsidRDefault="0098389B" w:rsidP="0071131C">
      <w:pPr>
        <w:rPr>
          <w:rFonts w:eastAsia="MS Mincho" w:cs="Times New Roman"/>
          <w:szCs w:val="21"/>
          <w:lang w:eastAsia="fr-FR"/>
        </w:rPr>
      </w:pPr>
    </w:p>
    <w:p w14:paraId="41C5E905" w14:textId="77777777" w:rsidR="0071131C" w:rsidRDefault="0071131C" w:rsidP="0071131C">
      <w:r>
        <w:t>L’objet du marché doit être clairement définit. Il s’agit d’ailleurs d’un des points de contrôles relatifs aux orientations pour la détermination des corrections financières à appliquer aux dépenses financées par l’Union dans le cadre de la gestion partagée en cas de non-respect des règles en matière de marchés publics</w:t>
      </w:r>
      <w:r>
        <w:rPr>
          <w:rStyle w:val="Appelnotedebasdep"/>
        </w:rPr>
        <w:footnoteReference w:id="5"/>
      </w:r>
      <w:r>
        <w:t xml:space="preserve">. </w:t>
      </w:r>
      <w:r w:rsidR="00AC49EE">
        <w:t>En effet, si la description dans l’avis de marché et/ou dans le cahier des charges est insuffisamment claire ou détaillée pour permettre aux soumissionnaires potentiels de déterminer l’objet du marché</w:t>
      </w:r>
      <w:r w:rsidR="0068687E">
        <w:t>,</w:t>
      </w:r>
      <w:r w:rsidR="00AC49EE">
        <w:t xml:space="preserve"> alors</w:t>
      </w:r>
      <w:r w:rsidR="00707619">
        <w:t xml:space="preserve"> un taux de correction financière</w:t>
      </w:r>
      <w:r w:rsidR="00AC49EE">
        <w:t xml:space="preserve"> pouvant aller jusqu’à 10% pourra être appliqué. Il est ainsi recommandé de bien identifier et d’évaluer les besoins de la structure. Sur ce sujet, le guide d’orientation à destination des praticiens de la Commission européenne peut vous aider à bien débuter cette étape</w:t>
      </w:r>
      <w:r w:rsidR="00AC49EE">
        <w:rPr>
          <w:rStyle w:val="Appelnotedebasdep"/>
        </w:rPr>
        <w:footnoteReference w:id="6"/>
      </w:r>
      <w:r w:rsidR="00AC49EE">
        <w:t xml:space="preserve">. </w:t>
      </w:r>
    </w:p>
    <w:p w14:paraId="60894553" w14:textId="77777777" w:rsidR="00CF3E32" w:rsidRDefault="00CF3E32" w:rsidP="0071131C"/>
    <w:p w14:paraId="0D355932" w14:textId="77777777" w:rsidR="00F53F8C" w:rsidRPr="00F53F8C" w:rsidRDefault="0098389B" w:rsidP="00F53F8C">
      <w:pPr>
        <w:rPr>
          <w:b/>
        </w:rPr>
      </w:pPr>
      <w:r w:rsidRPr="00C14133">
        <w:rPr>
          <w:b/>
        </w:rPr>
        <w:t xml:space="preserve">3 – Vérification de la procédure de marché utilisée </w:t>
      </w:r>
      <w:r w:rsidR="00E355AB">
        <w:rPr>
          <w:b/>
        </w:rPr>
        <w:t>(A</w:t>
      </w:r>
      <w:r w:rsidR="003D0BF3">
        <w:rPr>
          <w:b/>
        </w:rPr>
        <w:t>u plus tard à</w:t>
      </w:r>
      <w:r w:rsidR="00E355AB">
        <w:rPr>
          <w:b/>
        </w:rPr>
        <w:t xml:space="preserve"> la demande de paiement)</w:t>
      </w:r>
      <w:r w:rsidR="00F53F8C">
        <w:rPr>
          <w:b/>
        </w:rPr>
        <w:t xml:space="preserve">. </w:t>
      </w:r>
      <w:r w:rsidR="00F53F8C" w:rsidRPr="00F53F8C">
        <w:rPr>
          <w:b/>
        </w:rPr>
        <w:t>Les règles de publicité et de mise en concurrence ont-e</w:t>
      </w:r>
      <w:r w:rsidR="00F53F8C">
        <w:rPr>
          <w:b/>
        </w:rPr>
        <w:t>lles été respectées au regard des</w:t>
      </w:r>
      <w:r w:rsidR="00F53F8C" w:rsidRPr="00F53F8C">
        <w:rPr>
          <w:b/>
        </w:rPr>
        <w:t xml:space="preserve"> seuil</w:t>
      </w:r>
      <w:r w:rsidR="00F53F8C">
        <w:rPr>
          <w:b/>
        </w:rPr>
        <w:t>s</w:t>
      </w:r>
      <w:r w:rsidR="00F53F8C" w:rsidRPr="00F53F8C">
        <w:rPr>
          <w:b/>
        </w:rPr>
        <w:t xml:space="preserve"> de passation du marché ?</w:t>
      </w:r>
    </w:p>
    <w:p w14:paraId="52AB970C" w14:textId="77777777" w:rsidR="0098389B" w:rsidRPr="00C14133" w:rsidRDefault="00F53F8C" w:rsidP="00F53F8C">
      <w:pPr>
        <w:rPr>
          <w:b/>
        </w:rPr>
      </w:pPr>
      <w:r w:rsidRPr="00F53F8C">
        <w:rPr>
          <w:b/>
        </w:rPr>
        <w:t>Les documents de mise en concurrence et de publicité sont-ils conformes ?</w:t>
      </w:r>
    </w:p>
    <w:p w14:paraId="1BCE96EE" w14:textId="77777777" w:rsidR="0098389B" w:rsidRDefault="0098389B" w:rsidP="0071131C"/>
    <w:p w14:paraId="5F80EDB1" w14:textId="77777777" w:rsidR="009138A7" w:rsidRDefault="001F0BBE" w:rsidP="009138A7">
      <w:r>
        <w:t>Les</w:t>
      </w:r>
      <w:r w:rsidR="009138A7">
        <w:t xml:space="preserve"> seuils européens au-</w:t>
      </w:r>
      <w:r w:rsidR="00727B91">
        <w:t>dessus</w:t>
      </w:r>
      <w:r w:rsidR="009138A7">
        <w:t xml:space="preserve"> desquels une procédure formalisée est à appliquer sont les suivants</w:t>
      </w:r>
      <w:r w:rsidR="00553B9C">
        <w:rPr>
          <w:rStyle w:val="Appelnotedebasdep"/>
        </w:rPr>
        <w:footnoteReference w:id="7"/>
      </w:r>
      <w:r w:rsidR="009138A7">
        <w:t> :</w:t>
      </w:r>
    </w:p>
    <w:p w14:paraId="702B9935" w14:textId="77777777" w:rsidR="009138A7" w:rsidRDefault="009138A7" w:rsidP="009138A7"/>
    <w:tbl>
      <w:tblPr>
        <w:tblStyle w:val="Listeclaire-Accent2"/>
        <w:tblW w:w="0" w:type="auto"/>
        <w:tblLook w:val="04A0" w:firstRow="1" w:lastRow="0" w:firstColumn="1" w:lastColumn="0" w:noHBand="0" w:noVBand="1"/>
      </w:tblPr>
      <w:tblGrid>
        <w:gridCol w:w="2542"/>
        <w:gridCol w:w="1843"/>
        <w:gridCol w:w="1843"/>
        <w:gridCol w:w="1843"/>
      </w:tblGrid>
      <w:tr w:rsidR="00F321C4" w:rsidRPr="009138A7" w14:paraId="71379663" w14:textId="77777777" w:rsidTr="00C765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shd w:val="solid" w:color="C0504D" w:themeColor="accent2" w:fill="auto"/>
          </w:tcPr>
          <w:p w14:paraId="53A17466" w14:textId="77777777" w:rsidR="00F321C4" w:rsidRPr="001F0BBE" w:rsidRDefault="00F321C4" w:rsidP="001F0BBE">
            <w:pPr>
              <w:rPr>
                <w:color w:val="auto"/>
                <w:sz w:val="16"/>
                <w:szCs w:val="16"/>
              </w:rPr>
            </w:pPr>
            <w:r w:rsidRPr="001F0BBE">
              <w:rPr>
                <w:color w:val="auto"/>
                <w:sz w:val="16"/>
                <w:szCs w:val="16"/>
              </w:rPr>
              <w:t>Période concernée</w:t>
            </w:r>
          </w:p>
          <w:p w14:paraId="73FB477E" w14:textId="77777777" w:rsidR="00F321C4" w:rsidRPr="001F0BBE" w:rsidRDefault="00F321C4" w:rsidP="001F0BBE">
            <w:pPr>
              <w:rPr>
                <w:color w:val="auto"/>
                <w:sz w:val="16"/>
                <w:szCs w:val="16"/>
              </w:rPr>
            </w:pPr>
            <w:r w:rsidRPr="001F0BBE">
              <w:rPr>
                <w:color w:val="auto"/>
                <w:sz w:val="16"/>
                <w:szCs w:val="16"/>
              </w:rPr>
              <w:t>(Lancement consultations)</w:t>
            </w:r>
          </w:p>
        </w:tc>
        <w:tc>
          <w:tcPr>
            <w:tcW w:w="1843" w:type="dxa"/>
            <w:shd w:val="solid" w:color="C0504D" w:themeColor="accent2" w:fill="auto"/>
          </w:tcPr>
          <w:p w14:paraId="09F28FD5" w14:textId="77777777" w:rsidR="00F321C4" w:rsidRDefault="00F321C4" w:rsidP="001F0BBE">
            <w:pPr>
              <w:cnfStyle w:val="100000000000" w:firstRow="1"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Du </w:t>
            </w:r>
            <w:r w:rsidRPr="001F0BBE">
              <w:rPr>
                <w:color w:val="auto"/>
                <w:sz w:val="16"/>
                <w:szCs w:val="16"/>
              </w:rPr>
              <w:t xml:space="preserve">01/01/2016 </w:t>
            </w:r>
          </w:p>
          <w:p w14:paraId="398496F3" w14:textId="77777777" w:rsidR="00F321C4" w:rsidRPr="001F0BBE" w:rsidRDefault="00F321C4" w:rsidP="001F0BBE">
            <w:pPr>
              <w:cnfStyle w:val="100000000000" w:firstRow="1" w:lastRow="0" w:firstColumn="0" w:lastColumn="0" w:oddVBand="0" w:evenVBand="0" w:oddHBand="0" w:evenHBand="0" w:firstRowFirstColumn="0" w:firstRowLastColumn="0" w:lastRowFirstColumn="0" w:lastRowLastColumn="0"/>
              <w:rPr>
                <w:color w:val="auto"/>
                <w:sz w:val="16"/>
                <w:szCs w:val="16"/>
              </w:rPr>
            </w:pPr>
            <w:r w:rsidRPr="001F0BBE">
              <w:rPr>
                <w:color w:val="auto"/>
                <w:sz w:val="16"/>
                <w:szCs w:val="16"/>
              </w:rPr>
              <w:t>Au 31/12/2017</w:t>
            </w:r>
          </w:p>
        </w:tc>
        <w:tc>
          <w:tcPr>
            <w:tcW w:w="1843" w:type="dxa"/>
            <w:shd w:val="solid" w:color="C0504D" w:themeColor="accent2" w:fill="auto"/>
          </w:tcPr>
          <w:p w14:paraId="2E9FC770" w14:textId="77777777" w:rsidR="00F321C4" w:rsidRDefault="00F321C4" w:rsidP="00461A7C">
            <w:pPr>
              <w:cnfStyle w:val="100000000000" w:firstRow="1" w:lastRow="0" w:firstColumn="0" w:lastColumn="0" w:oddVBand="0" w:evenVBand="0" w:oddHBand="0" w:evenHBand="0" w:firstRowFirstColumn="0" w:firstRowLastColumn="0" w:lastRowFirstColumn="0" w:lastRowLastColumn="0"/>
              <w:rPr>
                <w:color w:val="auto"/>
                <w:sz w:val="16"/>
                <w:szCs w:val="16"/>
              </w:rPr>
            </w:pPr>
            <w:r>
              <w:rPr>
                <w:color w:val="auto"/>
                <w:sz w:val="16"/>
                <w:szCs w:val="16"/>
              </w:rPr>
              <w:t>Du 01/01/2018</w:t>
            </w:r>
            <w:r w:rsidRPr="001F0BBE">
              <w:rPr>
                <w:color w:val="auto"/>
                <w:sz w:val="16"/>
                <w:szCs w:val="16"/>
              </w:rPr>
              <w:t xml:space="preserve"> </w:t>
            </w:r>
          </w:p>
          <w:p w14:paraId="42B2E163" w14:textId="77777777" w:rsidR="00F321C4" w:rsidRDefault="00F321C4" w:rsidP="00461A7C">
            <w:pPr>
              <w:cnfStyle w:val="100000000000" w:firstRow="1" w:lastRow="0" w:firstColumn="0" w:lastColumn="0" w:oddVBand="0" w:evenVBand="0" w:oddHBand="0" w:evenHBand="0" w:firstRowFirstColumn="0" w:firstRowLastColumn="0" w:lastRowFirstColumn="0" w:lastRowLastColumn="0"/>
              <w:rPr>
                <w:sz w:val="16"/>
                <w:szCs w:val="16"/>
              </w:rPr>
            </w:pPr>
            <w:r>
              <w:rPr>
                <w:color w:val="auto"/>
                <w:sz w:val="16"/>
                <w:szCs w:val="16"/>
              </w:rPr>
              <w:t>Au 31/12/2019</w:t>
            </w:r>
          </w:p>
        </w:tc>
        <w:tc>
          <w:tcPr>
            <w:tcW w:w="1843" w:type="dxa"/>
            <w:shd w:val="solid" w:color="C0504D" w:themeColor="accent2" w:fill="auto"/>
          </w:tcPr>
          <w:p w14:paraId="637D7AAA" w14:textId="77777777" w:rsidR="00F321C4" w:rsidRDefault="00F321C4" w:rsidP="00F321C4">
            <w:pPr>
              <w:cnfStyle w:val="100000000000" w:firstRow="1" w:lastRow="0" w:firstColumn="0" w:lastColumn="0" w:oddVBand="0" w:evenVBand="0" w:oddHBand="0" w:evenHBand="0" w:firstRowFirstColumn="0" w:firstRowLastColumn="0" w:lastRowFirstColumn="0" w:lastRowLastColumn="0"/>
              <w:rPr>
                <w:color w:val="auto"/>
                <w:sz w:val="16"/>
                <w:szCs w:val="16"/>
              </w:rPr>
            </w:pPr>
            <w:r>
              <w:rPr>
                <w:color w:val="auto"/>
                <w:sz w:val="16"/>
                <w:szCs w:val="16"/>
              </w:rPr>
              <w:t>Du 01/01/2020</w:t>
            </w:r>
            <w:r w:rsidRPr="001F0BBE">
              <w:rPr>
                <w:color w:val="auto"/>
                <w:sz w:val="16"/>
                <w:szCs w:val="16"/>
              </w:rPr>
              <w:t xml:space="preserve"> </w:t>
            </w:r>
          </w:p>
          <w:p w14:paraId="5FD7B495" w14:textId="77777777" w:rsidR="00F321C4" w:rsidRDefault="00F321C4" w:rsidP="00F321C4">
            <w:pPr>
              <w:cnfStyle w:val="100000000000" w:firstRow="1" w:lastRow="0" w:firstColumn="0" w:lastColumn="0" w:oddVBand="0" w:evenVBand="0" w:oddHBand="0" w:evenHBand="0" w:firstRowFirstColumn="0" w:firstRowLastColumn="0" w:lastRowFirstColumn="0" w:lastRowLastColumn="0"/>
              <w:rPr>
                <w:sz w:val="16"/>
                <w:szCs w:val="16"/>
              </w:rPr>
            </w:pPr>
            <w:r>
              <w:rPr>
                <w:color w:val="auto"/>
                <w:sz w:val="16"/>
                <w:szCs w:val="16"/>
              </w:rPr>
              <w:t>Au 31/12/2021</w:t>
            </w:r>
          </w:p>
        </w:tc>
      </w:tr>
      <w:tr w:rsidR="00F321C4" w:rsidRPr="009138A7" w14:paraId="4CB73D0B" w14:textId="77777777" w:rsidTr="00C76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shd w:val="solid" w:color="C0504D" w:themeColor="accent2" w:fill="auto"/>
          </w:tcPr>
          <w:p w14:paraId="7C914122" w14:textId="77777777" w:rsidR="00F321C4" w:rsidRPr="001F0BBE" w:rsidRDefault="00F321C4" w:rsidP="001F0BBE">
            <w:pPr>
              <w:rPr>
                <w:color w:val="FFFFFF" w:themeColor="background1"/>
              </w:rPr>
            </w:pPr>
            <w:r w:rsidRPr="001F0BBE">
              <w:rPr>
                <w:color w:val="FFFFFF" w:themeColor="background1"/>
              </w:rPr>
              <w:t>Types de marché</w:t>
            </w:r>
          </w:p>
        </w:tc>
        <w:tc>
          <w:tcPr>
            <w:tcW w:w="1843" w:type="dxa"/>
            <w:shd w:val="solid" w:color="C0504D" w:themeColor="accent2" w:fill="auto"/>
          </w:tcPr>
          <w:p w14:paraId="6B7CA837" w14:textId="77777777" w:rsidR="00F321C4" w:rsidRPr="001F0BBE" w:rsidRDefault="00F321C4" w:rsidP="001F0BBE">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1F0BBE">
              <w:rPr>
                <w:color w:val="FFFFFF" w:themeColor="background1"/>
              </w:rPr>
              <w:t>Seuils européens</w:t>
            </w:r>
          </w:p>
        </w:tc>
        <w:tc>
          <w:tcPr>
            <w:tcW w:w="1843" w:type="dxa"/>
            <w:shd w:val="solid" w:color="C0504D" w:themeColor="accent2" w:fill="auto"/>
          </w:tcPr>
          <w:p w14:paraId="284E315B" w14:textId="77777777" w:rsidR="00F321C4" w:rsidRPr="001F0BBE" w:rsidRDefault="00F321C4" w:rsidP="001F0BBE">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843" w:type="dxa"/>
            <w:shd w:val="solid" w:color="C0504D" w:themeColor="accent2" w:fill="auto"/>
          </w:tcPr>
          <w:p w14:paraId="5AC82EC6" w14:textId="77777777" w:rsidR="00F321C4" w:rsidRPr="001F0BBE" w:rsidRDefault="00F321C4" w:rsidP="001F0BBE">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F321C4" w:rsidRPr="009138A7" w14:paraId="669367CA" w14:textId="77777777" w:rsidTr="00C76512">
        <w:tc>
          <w:tcPr>
            <w:cnfStyle w:val="001000000000" w:firstRow="0" w:lastRow="0" w:firstColumn="1" w:lastColumn="0" w:oddVBand="0" w:evenVBand="0" w:oddHBand="0" w:evenHBand="0" w:firstRowFirstColumn="0" w:firstRowLastColumn="0" w:lastRowFirstColumn="0" w:lastRowLastColumn="0"/>
            <w:tcW w:w="2542" w:type="dxa"/>
          </w:tcPr>
          <w:p w14:paraId="2CADA40B" w14:textId="77777777" w:rsidR="00F321C4" w:rsidRPr="009138A7" w:rsidRDefault="00F321C4" w:rsidP="001F0BBE">
            <w:r w:rsidRPr="009138A7">
              <w:t xml:space="preserve">Marché de </w:t>
            </w:r>
            <w:r w:rsidR="00956DEF" w:rsidRPr="009138A7">
              <w:t>travaux et</w:t>
            </w:r>
            <w:r w:rsidRPr="009138A7">
              <w:t xml:space="preserve"> contrats de concessions </w:t>
            </w:r>
          </w:p>
        </w:tc>
        <w:tc>
          <w:tcPr>
            <w:tcW w:w="1843" w:type="dxa"/>
          </w:tcPr>
          <w:p w14:paraId="1C7AF3B2" w14:textId="77777777" w:rsidR="00F321C4" w:rsidRPr="009138A7" w:rsidRDefault="00F321C4" w:rsidP="001F0BBE">
            <w:pPr>
              <w:cnfStyle w:val="000000000000" w:firstRow="0" w:lastRow="0" w:firstColumn="0" w:lastColumn="0" w:oddVBand="0" w:evenVBand="0" w:oddHBand="0" w:evenHBand="0" w:firstRowFirstColumn="0" w:firstRowLastColumn="0" w:lastRowFirstColumn="0" w:lastRowLastColumn="0"/>
            </w:pPr>
            <w:r w:rsidRPr="009138A7">
              <w:t>5 225 000 euros HT</w:t>
            </w:r>
          </w:p>
        </w:tc>
        <w:tc>
          <w:tcPr>
            <w:tcW w:w="1843" w:type="dxa"/>
          </w:tcPr>
          <w:p w14:paraId="33E3A1E5" w14:textId="77777777" w:rsidR="00F321C4" w:rsidRPr="009138A7" w:rsidRDefault="00F321C4" w:rsidP="001F0BBE">
            <w:pPr>
              <w:cnfStyle w:val="000000000000" w:firstRow="0" w:lastRow="0" w:firstColumn="0" w:lastColumn="0" w:oddVBand="0" w:evenVBand="0" w:oddHBand="0" w:evenHBand="0" w:firstRowFirstColumn="0" w:firstRowLastColumn="0" w:lastRowFirstColumn="0" w:lastRowLastColumn="0"/>
            </w:pPr>
            <w:r>
              <w:t>5 548</w:t>
            </w:r>
            <w:r w:rsidRPr="009138A7">
              <w:t> 000 euros HT</w:t>
            </w:r>
          </w:p>
        </w:tc>
        <w:tc>
          <w:tcPr>
            <w:tcW w:w="1843" w:type="dxa"/>
          </w:tcPr>
          <w:p w14:paraId="3EC6AACE" w14:textId="77777777" w:rsidR="00F321C4" w:rsidRDefault="00F321C4" w:rsidP="001F0BBE">
            <w:pPr>
              <w:cnfStyle w:val="000000000000" w:firstRow="0" w:lastRow="0" w:firstColumn="0" w:lastColumn="0" w:oddVBand="0" w:evenVBand="0" w:oddHBand="0" w:evenHBand="0" w:firstRowFirstColumn="0" w:firstRowLastColumn="0" w:lastRowFirstColumn="0" w:lastRowLastColumn="0"/>
            </w:pPr>
            <w:r>
              <w:t>5 350</w:t>
            </w:r>
            <w:r w:rsidRPr="009138A7">
              <w:t> 000 euros HT</w:t>
            </w:r>
          </w:p>
        </w:tc>
      </w:tr>
      <w:tr w:rsidR="00F321C4" w:rsidRPr="009138A7" w14:paraId="2BE7B6BE" w14:textId="77777777" w:rsidTr="00C76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4001B11C" w14:textId="77777777" w:rsidR="00F321C4" w:rsidRPr="009138A7" w:rsidRDefault="00F321C4" w:rsidP="001F0BBE">
            <w:r w:rsidRPr="009138A7">
              <w:t xml:space="preserve">Marché de fourniture </w:t>
            </w:r>
            <w:r>
              <w:t xml:space="preserve">et de service </w:t>
            </w:r>
            <w:r w:rsidRPr="009138A7">
              <w:t xml:space="preserve">(ETAT)  </w:t>
            </w:r>
          </w:p>
        </w:tc>
        <w:tc>
          <w:tcPr>
            <w:tcW w:w="1843" w:type="dxa"/>
          </w:tcPr>
          <w:p w14:paraId="1BF45B43" w14:textId="77777777" w:rsidR="00F321C4" w:rsidRPr="009138A7" w:rsidRDefault="00F321C4" w:rsidP="001F0BBE">
            <w:pPr>
              <w:cnfStyle w:val="000000100000" w:firstRow="0" w:lastRow="0" w:firstColumn="0" w:lastColumn="0" w:oddVBand="0" w:evenVBand="0" w:oddHBand="1" w:evenHBand="0" w:firstRowFirstColumn="0" w:firstRowLastColumn="0" w:lastRowFirstColumn="0" w:lastRowLastColumn="0"/>
            </w:pPr>
            <w:r w:rsidRPr="009138A7">
              <w:t>135 000 euros HT</w:t>
            </w:r>
          </w:p>
        </w:tc>
        <w:tc>
          <w:tcPr>
            <w:tcW w:w="1843" w:type="dxa"/>
          </w:tcPr>
          <w:p w14:paraId="085DD5E3" w14:textId="77777777" w:rsidR="00F321C4" w:rsidRPr="009138A7" w:rsidRDefault="00F321C4" w:rsidP="001F0BBE">
            <w:pPr>
              <w:cnfStyle w:val="000000100000" w:firstRow="0" w:lastRow="0" w:firstColumn="0" w:lastColumn="0" w:oddVBand="0" w:evenVBand="0" w:oddHBand="1" w:evenHBand="0" w:firstRowFirstColumn="0" w:firstRowLastColumn="0" w:lastRowFirstColumn="0" w:lastRowLastColumn="0"/>
            </w:pPr>
            <w:r>
              <w:t>144</w:t>
            </w:r>
            <w:r w:rsidRPr="009138A7">
              <w:t> 000 euros HT</w:t>
            </w:r>
          </w:p>
        </w:tc>
        <w:tc>
          <w:tcPr>
            <w:tcW w:w="1843" w:type="dxa"/>
          </w:tcPr>
          <w:p w14:paraId="12E30FF4" w14:textId="77777777" w:rsidR="00F321C4" w:rsidRDefault="00F321C4" w:rsidP="001F0BBE">
            <w:pPr>
              <w:cnfStyle w:val="000000100000" w:firstRow="0" w:lastRow="0" w:firstColumn="0" w:lastColumn="0" w:oddVBand="0" w:evenVBand="0" w:oddHBand="1" w:evenHBand="0" w:firstRowFirstColumn="0" w:firstRowLastColumn="0" w:lastRowFirstColumn="0" w:lastRowLastColumn="0"/>
            </w:pPr>
            <w:r>
              <w:t>139</w:t>
            </w:r>
            <w:r w:rsidRPr="009138A7">
              <w:t> 000 euros HT</w:t>
            </w:r>
          </w:p>
        </w:tc>
      </w:tr>
      <w:tr w:rsidR="00F321C4" w:rsidRPr="009138A7" w14:paraId="57C21531" w14:textId="77777777" w:rsidTr="00C76512">
        <w:tc>
          <w:tcPr>
            <w:cnfStyle w:val="001000000000" w:firstRow="0" w:lastRow="0" w:firstColumn="1" w:lastColumn="0" w:oddVBand="0" w:evenVBand="0" w:oddHBand="0" w:evenHBand="0" w:firstRowFirstColumn="0" w:firstRowLastColumn="0" w:lastRowFirstColumn="0" w:lastRowLastColumn="0"/>
            <w:tcW w:w="2542" w:type="dxa"/>
          </w:tcPr>
          <w:p w14:paraId="735A6C37" w14:textId="77777777" w:rsidR="00F321C4" w:rsidRPr="009138A7" w:rsidRDefault="00F321C4" w:rsidP="001F0BBE">
            <w:r w:rsidRPr="009138A7">
              <w:t>Marché de fourniture</w:t>
            </w:r>
            <w:r>
              <w:t xml:space="preserve"> et de service (Collectivités territoriales)</w:t>
            </w:r>
          </w:p>
        </w:tc>
        <w:tc>
          <w:tcPr>
            <w:tcW w:w="1843" w:type="dxa"/>
          </w:tcPr>
          <w:p w14:paraId="6EF667F9" w14:textId="77777777" w:rsidR="00F321C4" w:rsidRPr="009138A7" w:rsidRDefault="00F321C4" w:rsidP="001F0BBE">
            <w:pPr>
              <w:cnfStyle w:val="000000000000" w:firstRow="0" w:lastRow="0" w:firstColumn="0" w:lastColumn="0" w:oddVBand="0" w:evenVBand="0" w:oddHBand="0" w:evenHBand="0" w:firstRowFirstColumn="0" w:firstRowLastColumn="0" w:lastRowFirstColumn="0" w:lastRowLastColumn="0"/>
            </w:pPr>
            <w:r>
              <w:t>209 000 euros HT</w:t>
            </w:r>
          </w:p>
        </w:tc>
        <w:tc>
          <w:tcPr>
            <w:tcW w:w="1843" w:type="dxa"/>
          </w:tcPr>
          <w:p w14:paraId="7DFFAE2B" w14:textId="77777777" w:rsidR="00F321C4" w:rsidRDefault="00F321C4" w:rsidP="001F0BBE">
            <w:pPr>
              <w:cnfStyle w:val="000000000000" w:firstRow="0" w:lastRow="0" w:firstColumn="0" w:lastColumn="0" w:oddVBand="0" w:evenVBand="0" w:oddHBand="0" w:evenHBand="0" w:firstRowFirstColumn="0" w:firstRowLastColumn="0" w:lastRowFirstColumn="0" w:lastRowLastColumn="0"/>
            </w:pPr>
            <w:r>
              <w:t>221 000 euros HT</w:t>
            </w:r>
          </w:p>
        </w:tc>
        <w:tc>
          <w:tcPr>
            <w:tcW w:w="1843" w:type="dxa"/>
          </w:tcPr>
          <w:p w14:paraId="54C9AB6B" w14:textId="77777777" w:rsidR="00F321C4" w:rsidRDefault="00F321C4" w:rsidP="001F0BBE">
            <w:pPr>
              <w:cnfStyle w:val="000000000000" w:firstRow="0" w:lastRow="0" w:firstColumn="0" w:lastColumn="0" w:oddVBand="0" w:evenVBand="0" w:oddHBand="0" w:evenHBand="0" w:firstRowFirstColumn="0" w:firstRowLastColumn="0" w:lastRowFirstColumn="0" w:lastRowLastColumn="0"/>
            </w:pPr>
            <w:r>
              <w:t>214 000 euros HT</w:t>
            </w:r>
          </w:p>
        </w:tc>
      </w:tr>
      <w:tr w:rsidR="00F321C4" w:rsidRPr="009138A7" w14:paraId="7CC9262B" w14:textId="77777777" w:rsidTr="00C76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4BB3D32A" w14:textId="77777777" w:rsidR="00F321C4" w:rsidRPr="009138A7" w:rsidRDefault="00F321C4" w:rsidP="001F0BBE">
            <w:r>
              <w:lastRenderedPageBreak/>
              <w:t>Marché de fourniture et de service des entités adjudicatrices et pour les marchés publics de fournitures et de services passés dans le domaine de la défense ou de la sécurité</w:t>
            </w:r>
          </w:p>
        </w:tc>
        <w:tc>
          <w:tcPr>
            <w:tcW w:w="1843" w:type="dxa"/>
          </w:tcPr>
          <w:p w14:paraId="4CB8CE58" w14:textId="77777777" w:rsidR="00F321C4" w:rsidRPr="009138A7" w:rsidRDefault="00F321C4" w:rsidP="001F0BBE">
            <w:pPr>
              <w:cnfStyle w:val="000000100000" w:firstRow="0" w:lastRow="0" w:firstColumn="0" w:lastColumn="0" w:oddVBand="0" w:evenVBand="0" w:oddHBand="1" w:evenHBand="0" w:firstRowFirstColumn="0" w:firstRowLastColumn="0" w:lastRowFirstColumn="0" w:lastRowLastColumn="0"/>
            </w:pPr>
            <w:r>
              <w:t>418 000 euros HT</w:t>
            </w:r>
          </w:p>
        </w:tc>
        <w:tc>
          <w:tcPr>
            <w:tcW w:w="1843" w:type="dxa"/>
          </w:tcPr>
          <w:p w14:paraId="68D0E8DF" w14:textId="77777777" w:rsidR="00F321C4" w:rsidRDefault="00F321C4" w:rsidP="001F0BBE">
            <w:pPr>
              <w:cnfStyle w:val="000000100000" w:firstRow="0" w:lastRow="0" w:firstColumn="0" w:lastColumn="0" w:oddVBand="0" w:evenVBand="0" w:oddHBand="1" w:evenHBand="0" w:firstRowFirstColumn="0" w:firstRowLastColumn="0" w:lastRowFirstColumn="0" w:lastRowLastColumn="0"/>
            </w:pPr>
            <w:r>
              <w:t>443 000 euros HT</w:t>
            </w:r>
          </w:p>
        </w:tc>
        <w:tc>
          <w:tcPr>
            <w:tcW w:w="1843" w:type="dxa"/>
          </w:tcPr>
          <w:p w14:paraId="3182AA39" w14:textId="77777777" w:rsidR="00F321C4" w:rsidRDefault="00F321C4" w:rsidP="001F0BBE">
            <w:pPr>
              <w:cnfStyle w:val="000000100000" w:firstRow="0" w:lastRow="0" w:firstColumn="0" w:lastColumn="0" w:oddVBand="0" w:evenVBand="0" w:oddHBand="1" w:evenHBand="0" w:firstRowFirstColumn="0" w:firstRowLastColumn="0" w:lastRowFirstColumn="0" w:lastRowLastColumn="0"/>
            </w:pPr>
            <w:r>
              <w:t>428 000 euros HT</w:t>
            </w:r>
          </w:p>
        </w:tc>
      </w:tr>
    </w:tbl>
    <w:p w14:paraId="4BCA3B2D" w14:textId="77777777" w:rsidR="00CF3E32" w:rsidRDefault="00CF3E32" w:rsidP="00CF3E32"/>
    <w:p w14:paraId="284D1B6B" w14:textId="77777777" w:rsidR="00793B12" w:rsidRDefault="00787378" w:rsidP="00793B12">
      <w:r>
        <w:t xml:space="preserve">Tous </w:t>
      </w:r>
      <w:r w:rsidR="00956DEF">
        <w:t>les deux ans, les seuils des directives européennes sur les marchés publics sont révisés</w:t>
      </w:r>
      <w:r w:rsidR="00793B12">
        <w:t xml:space="preserve"> </w:t>
      </w:r>
      <w:r w:rsidR="00956DEF">
        <w:t>par la Commission européenne</w:t>
      </w:r>
      <w:r w:rsidR="00793B12">
        <w:t>.</w:t>
      </w:r>
    </w:p>
    <w:p w14:paraId="3121AB31" w14:textId="77777777" w:rsidR="00793B12" w:rsidRDefault="00793B12" w:rsidP="00793B12"/>
    <w:p w14:paraId="73B1500A" w14:textId="77777777" w:rsidR="0098389B" w:rsidRDefault="0098389B" w:rsidP="0098389B">
      <w:pPr>
        <w:pStyle w:val="Paragraphedeliste"/>
        <w:numPr>
          <w:ilvl w:val="0"/>
          <w:numId w:val="20"/>
        </w:numPr>
      </w:pPr>
      <w:r>
        <w:t>Formes du marché</w:t>
      </w:r>
    </w:p>
    <w:p w14:paraId="74587648" w14:textId="77777777" w:rsidR="00396846" w:rsidRDefault="00396846" w:rsidP="00396846">
      <w:r>
        <w:t>L’obligation d’allotir</w:t>
      </w:r>
      <w:r w:rsidR="00727B91">
        <w:rPr>
          <w:rStyle w:val="Appelnotedebasdep"/>
        </w:rPr>
        <w:footnoteReference w:id="8"/>
      </w:r>
      <w:r>
        <w:t xml:space="preserve"> est réaffirmée à l’article 32 de l’ordonnance du 23 juillet 2015</w:t>
      </w:r>
      <w:r>
        <w:rPr>
          <w:rStyle w:val="Appelnotedebasdep"/>
        </w:rPr>
        <w:footnoteReference w:id="9"/>
      </w:r>
      <w:r>
        <w:t xml:space="preserve"> avec de nouvelles exceptions sectorielles à l’article 35. L’absence d’allotissement doit être justifiée dans le rapport de présentation ou dans les documents de la consultation des </w:t>
      </w:r>
      <w:r w:rsidR="00486DDF">
        <w:t>acheteurs</w:t>
      </w:r>
      <w:r>
        <w:t xml:space="preserve">. </w:t>
      </w:r>
      <w:r w:rsidR="000C5AB0">
        <w:t xml:space="preserve">L’instructeur du dossier devra être attentif à cet aspect et vérifier la justification apportée par le bénéficiaire s’il a décidé de ne pas allotir. </w:t>
      </w:r>
    </w:p>
    <w:p w14:paraId="00BEA2AB" w14:textId="77777777" w:rsidR="000C5AB0" w:rsidRDefault="000C5AB0" w:rsidP="00396846"/>
    <w:p w14:paraId="2C732D00" w14:textId="77777777" w:rsidR="00C25BA7" w:rsidRDefault="00C25BA7" w:rsidP="00837870">
      <w:pPr>
        <w:pStyle w:val="Paragraphedeliste"/>
        <w:numPr>
          <w:ilvl w:val="0"/>
          <w:numId w:val="20"/>
        </w:numPr>
      </w:pPr>
      <w:r>
        <w:t>Procédure de marché utilisé</w:t>
      </w:r>
      <w:r w:rsidR="000C5AB0">
        <w:t>e</w:t>
      </w:r>
      <w:r w:rsidR="00FB509E">
        <w:rPr>
          <w:rStyle w:val="Appelnotedebasdep"/>
        </w:rPr>
        <w:footnoteReference w:id="10"/>
      </w:r>
    </w:p>
    <w:p w14:paraId="5992194A" w14:textId="77777777" w:rsidR="000C5AB0" w:rsidRPr="00CB5124" w:rsidRDefault="000C5AB0" w:rsidP="00DE50D6">
      <w:pPr>
        <w:jc w:val="center"/>
        <w:rPr>
          <w:b/>
          <w:color w:val="E36C0A" w:themeColor="accent6" w:themeShade="BF"/>
        </w:rPr>
      </w:pPr>
      <w:r w:rsidRPr="00CB5124">
        <w:rPr>
          <w:b/>
          <w:color w:val="E36C0A" w:themeColor="accent6" w:themeShade="BF"/>
        </w:rPr>
        <w:t>Procédures formalisées</w:t>
      </w:r>
      <w:r w:rsidR="008065DA">
        <w:rPr>
          <w:rStyle w:val="Appelnotedebasdep"/>
          <w:b/>
          <w:color w:val="E36C0A" w:themeColor="accent6" w:themeShade="BF"/>
        </w:rPr>
        <w:footnoteReference w:id="11"/>
      </w:r>
    </w:p>
    <w:p w14:paraId="54E10B61" w14:textId="77777777" w:rsidR="000C5AB0" w:rsidRDefault="000C5AB0" w:rsidP="000C5AB0"/>
    <w:p w14:paraId="587E6227" w14:textId="77777777" w:rsidR="000C5AB0" w:rsidRPr="00CB5124" w:rsidRDefault="000C5AB0" w:rsidP="000C5AB0">
      <w:pPr>
        <w:rPr>
          <w:color w:val="F79646" w:themeColor="accent6"/>
        </w:rPr>
      </w:pPr>
      <w:r w:rsidRPr="00CB5124">
        <w:rPr>
          <w:color w:val="F79646" w:themeColor="accent6"/>
        </w:rPr>
        <w:t>Procédure ouvertes</w:t>
      </w:r>
      <w:r w:rsidR="009138A7" w:rsidRPr="00CB5124">
        <w:rPr>
          <w:rStyle w:val="Appelnotedebasdep"/>
          <w:color w:val="F79646" w:themeColor="accent6"/>
        </w:rPr>
        <w:footnoteReference w:id="12"/>
      </w:r>
      <w:r w:rsidR="00DE50D6">
        <w:rPr>
          <w:color w:val="F79646" w:themeColor="accent6"/>
        </w:rPr>
        <w:t xml:space="preserve"> (articles 67 et 68 du décret du 25 mars 2016)</w:t>
      </w:r>
    </w:p>
    <w:p w14:paraId="03884AD0" w14:textId="77777777" w:rsidR="006976A7" w:rsidRDefault="006976A7" w:rsidP="000C5AB0">
      <w:r>
        <w:t>Il s’agit de la procédure la plus compétitive, compte tenu du nombre illimité d’</w:t>
      </w:r>
      <w:r w:rsidR="009138A7">
        <w:t>offres.</w:t>
      </w:r>
      <w:r>
        <w:t xml:space="preserve"> Tous les soumissionnaires intéressés par le marché peuvent répondre à l’avis publié. Il est alors obligatoire d’étudier toutes les offres sans effectuer de sélection préalable. </w:t>
      </w:r>
    </w:p>
    <w:p w14:paraId="1EAABC78" w14:textId="77777777" w:rsidR="006976A7" w:rsidRDefault="006976A7" w:rsidP="000C5AB0"/>
    <w:p w14:paraId="170D1632" w14:textId="77777777" w:rsidR="00DE50D6" w:rsidRDefault="000C5AB0" w:rsidP="000C5AB0">
      <w:pPr>
        <w:rPr>
          <w:color w:val="F79646" w:themeColor="accent6"/>
        </w:rPr>
      </w:pPr>
      <w:r w:rsidRPr="00CB5124">
        <w:rPr>
          <w:color w:val="F79646" w:themeColor="accent6"/>
        </w:rPr>
        <w:t>Procédures restreintes</w:t>
      </w:r>
      <w:r w:rsidR="00DE50D6">
        <w:rPr>
          <w:color w:val="F79646" w:themeColor="accent6"/>
        </w:rPr>
        <w:t xml:space="preserve"> (articles 69 et 70 du décret du 25 mars 2016)</w:t>
      </w:r>
    </w:p>
    <w:p w14:paraId="6C194464" w14:textId="77777777" w:rsidR="00DE50D6" w:rsidRPr="00DE50D6" w:rsidRDefault="00DE50D6" w:rsidP="000C5AB0">
      <w:r>
        <w:t xml:space="preserve">Il s’agit d’une procédure qui s’effectue en deux étapes. Seuls les candidats ayant été </w:t>
      </w:r>
      <w:r w:rsidR="008065DA">
        <w:t>pré</w:t>
      </w:r>
      <w:r>
        <w:t xml:space="preserve">sélectionnés peuvent soumettre une offre. </w:t>
      </w:r>
    </w:p>
    <w:p w14:paraId="2061B46E" w14:textId="77777777" w:rsidR="00CB5124" w:rsidRDefault="00CB5124" w:rsidP="000C5AB0"/>
    <w:p w14:paraId="5F539C6D" w14:textId="77777777" w:rsidR="000C5AB0" w:rsidRPr="00CB5124" w:rsidRDefault="000C5AB0" w:rsidP="000C5AB0">
      <w:pPr>
        <w:rPr>
          <w:color w:val="F79646" w:themeColor="accent6"/>
        </w:rPr>
      </w:pPr>
      <w:r w:rsidRPr="00CB5124">
        <w:rPr>
          <w:color w:val="F79646" w:themeColor="accent6"/>
        </w:rPr>
        <w:t>Procédure concurrentielle avec négociation </w:t>
      </w:r>
      <w:r w:rsidR="00DE50D6">
        <w:rPr>
          <w:color w:val="F79646" w:themeColor="accent6"/>
        </w:rPr>
        <w:t>(articles 71, 72 et 73 du décret du 25 mars 2016)</w:t>
      </w:r>
    </w:p>
    <w:p w14:paraId="25A4F1D8" w14:textId="77777777" w:rsidR="000C5AB0" w:rsidRDefault="000C5AB0" w:rsidP="000C5AB0">
      <w:r>
        <w:t>Il s’agit d’une nouvelle procédure de passation des marchés publics. On peut distinguer plusieurs phases, la phase candidature</w:t>
      </w:r>
      <w:r w:rsidR="006976A7">
        <w:t xml:space="preserve"> et la phase offre</w:t>
      </w:r>
      <w:r>
        <w:t xml:space="preserve">. </w:t>
      </w:r>
      <w:r w:rsidR="006976A7">
        <w:t>La phase offre</w:t>
      </w:r>
      <w:r>
        <w:t xml:space="preserve"> peut amener à des offres initiales, des offres nouvelles ou révisées et des offres finales. Il est fortement recommandé, de conserver dans son dossier l’ensemble des pièces qui pourront justifier que l’ensemble de la négociation </w:t>
      </w:r>
      <w:r w:rsidR="006976A7">
        <w:t>a</w:t>
      </w:r>
      <w:r>
        <w:t xml:space="preserve"> été menée </w:t>
      </w:r>
      <w:r w:rsidR="006976A7">
        <w:t xml:space="preserve">en garantissant l’égalité de traitement pour tous les soumissionnaires. </w:t>
      </w:r>
    </w:p>
    <w:p w14:paraId="43DEA2B1" w14:textId="77777777" w:rsidR="000C5AB0" w:rsidRDefault="000C5AB0" w:rsidP="000C5AB0">
      <w:r>
        <w:t xml:space="preserve">Il est à noter que la négociation peut porter sur l’ensemble des aspects du marché excepté les exigences minimales et les critères d’attribution qui sont quant à eux, hors négociation. </w:t>
      </w:r>
      <w:r w:rsidR="006976A7">
        <w:t xml:space="preserve">Il est bien entendu possible d’attribuer le marché sans utiliser la négociation. </w:t>
      </w:r>
    </w:p>
    <w:p w14:paraId="4F14351E" w14:textId="77777777" w:rsidR="006976A7" w:rsidRDefault="006976A7" w:rsidP="000C5AB0"/>
    <w:p w14:paraId="5546B16A" w14:textId="77777777" w:rsidR="006976A7" w:rsidRDefault="006976A7" w:rsidP="000C5AB0">
      <w:pPr>
        <w:rPr>
          <w:i/>
        </w:rPr>
      </w:pPr>
      <w:r w:rsidRPr="00FF4D08">
        <w:rPr>
          <w:b/>
          <w:i/>
          <w:color w:val="FF0000"/>
          <w:u w:val="single"/>
        </w:rPr>
        <w:lastRenderedPageBreak/>
        <w:t>/</w:t>
      </w:r>
      <w:r w:rsidR="00787378" w:rsidRPr="00FF4D08">
        <w:rPr>
          <w:b/>
          <w:i/>
          <w:color w:val="FF0000"/>
          <w:u w:val="single"/>
        </w:rPr>
        <w:t> ! \</w:t>
      </w:r>
      <w:r w:rsidRPr="00FF4D08">
        <w:rPr>
          <w:b/>
          <w:i/>
          <w:color w:val="FF0000"/>
          <w:u w:val="single"/>
        </w:rPr>
        <w:t> :</w:t>
      </w:r>
      <w:r w:rsidRPr="00FF4D08">
        <w:rPr>
          <w:i/>
          <w:color w:val="FF0000"/>
        </w:rPr>
        <w:t xml:space="preserve"> </w:t>
      </w:r>
      <w:r w:rsidRPr="006976A7">
        <w:rPr>
          <w:i/>
        </w:rPr>
        <w:t>Cette procédure ne peut être utilisée que dans des circonstances exceptionnelles. Le recours à cette procédure doit être justifié et il incombe au pouvoir adjudicateur de démontrer l’existence des circonstances justifiant le recours à cette procédure</w:t>
      </w:r>
      <w:r w:rsidRPr="006976A7">
        <w:rPr>
          <w:rStyle w:val="Appelnotedebasdep"/>
          <w:i/>
        </w:rPr>
        <w:footnoteReference w:id="13"/>
      </w:r>
      <w:r w:rsidRPr="006976A7">
        <w:rPr>
          <w:i/>
        </w:rPr>
        <w:t xml:space="preserve">. </w:t>
      </w:r>
      <w:r w:rsidR="00CB5124">
        <w:rPr>
          <w:i/>
        </w:rPr>
        <w:t>Il convient de se reporter à l’article 25-II du décret n°2016-360 pour connaître les cas dans lesquels cette procédure peut être utilisée.</w:t>
      </w:r>
    </w:p>
    <w:p w14:paraId="14111078" w14:textId="77777777" w:rsidR="006976A7" w:rsidRDefault="006976A7" w:rsidP="000C5AB0"/>
    <w:p w14:paraId="6DB180B7" w14:textId="77777777" w:rsidR="000C5AB0" w:rsidRDefault="000C5AB0" w:rsidP="000C5AB0">
      <w:pPr>
        <w:rPr>
          <w:color w:val="F79646" w:themeColor="accent6"/>
        </w:rPr>
      </w:pPr>
      <w:r w:rsidRPr="00CB5124">
        <w:rPr>
          <w:color w:val="F79646" w:themeColor="accent6"/>
        </w:rPr>
        <w:t>Dialogue compétitif</w:t>
      </w:r>
      <w:r w:rsidR="00DE50D6">
        <w:rPr>
          <w:color w:val="F79646" w:themeColor="accent6"/>
        </w:rPr>
        <w:t xml:space="preserve"> (articles 75 et 76 du décret du 25 mars 2016)</w:t>
      </w:r>
    </w:p>
    <w:p w14:paraId="4DA3E45D" w14:textId="77777777" w:rsidR="00CB5124" w:rsidRDefault="00CB5124" w:rsidP="000C5AB0">
      <w:r>
        <w:t xml:space="preserve">Contrairement à l’ancien code des marchés publics, l’utilisation de cette procédure n’est plus limitée à la complexité du marché. </w:t>
      </w:r>
      <w:r w:rsidR="00B2652B">
        <w:t>Au cours de cette procédure le pouvoir adjudicateur ouvre avec les participants sélectionnés un dialogue dont le but est de définir le mieux possible la façon de répondre aux besoins du pouvoir adjudicateur. Au cours de ce dialogue, tous les aspects du marché peuvent être discutés. Par conséquent, l’instructeur veillera à ce</w:t>
      </w:r>
      <w:r w:rsidR="00727B91">
        <w:t xml:space="preserve"> que le pouvoir adjudicateur ait</w:t>
      </w:r>
      <w:r w:rsidR="00B2652B">
        <w:t xml:space="preserve"> assuré l’égalité de traitement de tous les participants. </w:t>
      </w:r>
      <w:r w:rsidR="00FB509E">
        <w:t>Ce qui implique</w:t>
      </w:r>
      <w:r w:rsidR="00B2652B">
        <w:t xml:space="preserve"> </w:t>
      </w:r>
      <w:r w:rsidR="00FB509E">
        <w:t>qu’</w:t>
      </w:r>
      <w:r w:rsidR="00B2652B">
        <w:t xml:space="preserve">aucune information susceptible d’avantager un participant ne doit être communiquée. </w:t>
      </w:r>
    </w:p>
    <w:p w14:paraId="237CB59A" w14:textId="77777777" w:rsidR="00C27CCB" w:rsidRPr="00222A95" w:rsidRDefault="00C3161C" w:rsidP="000C5AB0">
      <w:r w:rsidRPr="005761B8">
        <w:rPr>
          <w:b/>
          <w:i/>
          <w:color w:val="FF0000"/>
          <w:u w:val="single"/>
        </w:rPr>
        <w:t>/</w:t>
      </w:r>
      <w:r w:rsidR="00787378" w:rsidRPr="005761B8">
        <w:rPr>
          <w:b/>
          <w:i/>
          <w:color w:val="FF0000"/>
          <w:u w:val="single"/>
        </w:rPr>
        <w:t> ! \</w:t>
      </w:r>
      <w:r w:rsidRPr="005761B8">
        <w:rPr>
          <w:b/>
          <w:i/>
          <w:color w:val="FF0000"/>
          <w:u w:val="single"/>
        </w:rPr>
        <w:t> :</w:t>
      </w:r>
      <w:r w:rsidRPr="006D626A">
        <w:rPr>
          <w:color w:val="FF0000"/>
        </w:rPr>
        <w:t xml:space="preserve"> </w:t>
      </w:r>
      <w:r w:rsidRPr="00C3161C">
        <w:rPr>
          <w:i/>
        </w:rPr>
        <w:t xml:space="preserve">Cette procédure ne peut être utilisée que dans certains cas, pour plus de détails se reporter à l’article 25.II du décret du 25 mars 2016. </w:t>
      </w:r>
    </w:p>
    <w:p w14:paraId="024FAB6B" w14:textId="77777777" w:rsidR="000C5AB0" w:rsidRDefault="000C5AB0" w:rsidP="000C5AB0"/>
    <w:p w14:paraId="456FCC83" w14:textId="77777777" w:rsidR="00B06C77" w:rsidRPr="00C14133" w:rsidRDefault="00B06C77" w:rsidP="00B06C77">
      <w:pPr>
        <w:rPr>
          <w:u w:val="single"/>
        </w:rPr>
      </w:pPr>
      <w:r w:rsidRPr="00C14133">
        <w:rPr>
          <w:u w:val="single"/>
        </w:rPr>
        <w:t>Publication de l’avis de marché</w:t>
      </w:r>
    </w:p>
    <w:p w14:paraId="6D05909C" w14:textId="77777777" w:rsidR="00B06C77" w:rsidRDefault="00B06C77" w:rsidP="00B06C77">
      <w:pPr>
        <w:rPr>
          <w:b/>
        </w:rPr>
      </w:pPr>
      <w:r>
        <w:t xml:space="preserve">Pour l’ensemble des marchés publics passés selon une des procédures formalisées énumérées ci-dessus, l’Etat, ses établissements publics autres qu’à caractère industriel et commercial, les collectivités territoriales, leurs établissements publics et leurs groupements </w:t>
      </w:r>
      <w:r w:rsidRPr="00B06C77">
        <w:rPr>
          <w:b/>
        </w:rPr>
        <w:t>publient un avis de marché</w:t>
      </w:r>
      <w:r w:rsidR="00AE2EC9">
        <w:rPr>
          <w:rStyle w:val="Appelnotedebasdep"/>
          <w:b/>
        </w:rPr>
        <w:footnoteReference w:id="14"/>
      </w:r>
      <w:r w:rsidRPr="00B06C77">
        <w:rPr>
          <w:b/>
        </w:rPr>
        <w:t xml:space="preserve"> dans le Bulletin officiel des annonces des marchés publics et au Journal </w:t>
      </w:r>
      <w:r>
        <w:rPr>
          <w:b/>
        </w:rPr>
        <w:t>officiel de l’Union européenne</w:t>
      </w:r>
      <w:r>
        <w:rPr>
          <w:rStyle w:val="Appelnotedebasdep"/>
          <w:b/>
        </w:rPr>
        <w:footnoteReference w:id="15"/>
      </w:r>
      <w:r w:rsidR="005A3E03">
        <w:rPr>
          <w:b/>
        </w:rPr>
        <w:t xml:space="preserve"> et s’assure</w:t>
      </w:r>
      <w:r w:rsidR="00727B91">
        <w:rPr>
          <w:b/>
        </w:rPr>
        <w:t>nt</w:t>
      </w:r>
      <w:r w:rsidR="005A3E03">
        <w:rPr>
          <w:b/>
        </w:rPr>
        <w:t xml:space="preserve"> que </w:t>
      </w:r>
      <w:r w:rsidR="005A3E03" w:rsidRPr="005A3E03">
        <w:rPr>
          <w:b/>
        </w:rPr>
        <w:t xml:space="preserve">les documents de consultation </w:t>
      </w:r>
      <w:r w:rsidR="005A3E03">
        <w:rPr>
          <w:b/>
        </w:rPr>
        <w:t xml:space="preserve">sont bien disponibles </w:t>
      </w:r>
      <w:r w:rsidR="005A3E03" w:rsidRPr="005A3E03">
        <w:rPr>
          <w:b/>
        </w:rPr>
        <w:t>sur un profil acheteur</w:t>
      </w:r>
      <w:r>
        <w:rPr>
          <w:b/>
        </w:rPr>
        <w:t>.</w:t>
      </w:r>
    </w:p>
    <w:p w14:paraId="0989AB68" w14:textId="77777777" w:rsidR="00222A95" w:rsidRDefault="00307BDB" w:rsidP="00307BDB">
      <w:pPr>
        <w:tabs>
          <w:tab w:val="left" w:pos="2880"/>
        </w:tabs>
        <w:rPr>
          <w:b/>
        </w:rPr>
      </w:pPr>
      <w:r>
        <w:rPr>
          <w:b/>
        </w:rPr>
        <w:tab/>
      </w:r>
    </w:p>
    <w:p w14:paraId="01817CA4" w14:textId="77777777" w:rsidR="00222A95" w:rsidRPr="00C14133" w:rsidRDefault="00222A95" w:rsidP="00B06C77">
      <w:pPr>
        <w:rPr>
          <w:u w:val="single"/>
        </w:rPr>
      </w:pPr>
      <w:r w:rsidRPr="00C14133">
        <w:rPr>
          <w:u w:val="single"/>
        </w:rPr>
        <w:t>Délais de réception des candidatures et des offres</w:t>
      </w:r>
      <w:r w:rsidR="004D253E" w:rsidRPr="00C14133">
        <w:rPr>
          <w:rStyle w:val="Appelnotedebasdep"/>
          <w:u w:val="single"/>
        </w:rPr>
        <w:footnoteReference w:id="16"/>
      </w:r>
    </w:p>
    <w:p w14:paraId="5F975A78" w14:textId="77777777" w:rsidR="004D253E" w:rsidRDefault="004D253E" w:rsidP="00B06C77">
      <w:pPr>
        <w:rPr>
          <w:u w:val="single"/>
        </w:rPr>
      </w:pPr>
    </w:p>
    <w:tbl>
      <w:tblPr>
        <w:tblStyle w:val="Listeclaire-Accent6"/>
        <w:tblW w:w="0" w:type="auto"/>
        <w:tblLook w:val="04A0" w:firstRow="1" w:lastRow="0" w:firstColumn="1" w:lastColumn="0" w:noHBand="0" w:noVBand="1"/>
      </w:tblPr>
      <w:tblGrid>
        <w:gridCol w:w="2862"/>
        <w:gridCol w:w="2862"/>
        <w:gridCol w:w="2862"/>
      </w:tblGrid>
      <w:tr w:rsidR="003B263A" w14:paraId="3E5251EE" w14:textId="77777777" w:rsidTr="003B263A">
        <w:trPr>
          <w:cnfStyle w:val="100000000000" w:firstRow="1" w:lastRow="0" w:firstColumn="0" w:lastColumn="0" w:oddVBand="0" w:evenVBand="0" w:oddHBand="0"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2862" w:type="dxa"/>
          </w:tcPr>
          <w:p w14:paraId="4C76A4F5" w14:textId="77777777" w:rsidR="003B263A" w:rsidRPr="004D253E" w:rsidRDefault="003B263A" w:rsidP="00B06C77">
            <w:r>
              <w:t>Type de procédure</w:t>
            </w:r>
          </w:p>
        </w:tc>
        <w:tc>
          <w:tcPr>
            <w:tcW w:w="2862" w:type="dxa"/>
          </w:tcPr>
          <w:p w14:paraId="7EA31781" w14:textId="77777777" w:rsidR="003B263A" w:rsidRPr="003B263A" w:rsidRDefault="003B263A" w:rsidP="00B06C77">
            <w:pPr>
              <w:cnfStyle w:val="100000000000" w:firstRow="1" w:lastRow="0" w:firstColumn="0" w:lastColumn="0" w:oddVBand="0" w:evenVBand="0" w:oddHBand="0" w:evenHBand="0" w:firstRowFirstColumn="0" w:firstRowLastColumn="0" w:lastRowFirstColumn="0" w:lastRowLastColumn="0"/>
            </w:pPr>
            <w:r w:rsidRPr="003B263A">
              <w:t>Délai minimum</w:t>
            </w:r>
          </w:p>
        </w:tc>
        <w:tc>
          <w:tcPr>
            <w:tcW w:w="2862" w:type="dxa"/>
          </w:tcPr>
          <w:p w14:paraId="51C99B29" w14:textId="77777777" w:rsidR="003B263A" w:rsidRPr="003B263A" w:rsidRDefault="003B263A" w:rsidP="00B06C77">
            <w:pPr>
              <w:cnfStyle w:val="100000000000" w:firstRow="1" w:lastRow="0" w:firstColumn="0" w:lastColumn="0" w:oddVBand="0" w:evenVBand="0" w:oddHBand="0" w:evenHBand="0" w:firstRowFirstColumn="0" w:firstRowLastColumn="0" w:lastRowFirstColumn="0" w:lastRowLastColumn="0"/>
            </w:pPr>
            <w:r w:rsidRPr="003B263A">
              <w:t>Cas particulier</w:t>
            </w:r>
          </w:p>
        </w:tc>
      </w:tr>
      <w:tr w:rsidR="003B263A" w14:paraId="4387B875" w14:textId="77777777" w:rsidTr="003B263A">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2862" w:type="dxa"/>
          </w:tcPr>
          <w:p w14:paraId="771DEFB9" w14:textId="77777777" w:rsidR="003B263A" w:rsidRPr="003B263A" w:rsidRDefault="003B263A" w:rsidP="00B06C77">
            <w:r w:rsidRPr="003B263A">
              <w:t>Appel d’offre ouvert (Article 67 du décret du 25 mars 2016)</w:t>
            </w:r>
          </w:p>
        </w:tc>
        <w:tc>
          <w:tcPr>
            <w:tcW w:w="2862" w:type="dxa"/>
          </w:tcPr>
          <w:p w14:paraId="52828B5C" w14:textId="77777777" w:rsidR="003B263A" w:rsidRPr="003B263A" w:rsidRDefault="003B263A" w:rsidP="00B06C77">
            <w:pPr>
              <w:cnfStyle w:val="000000100000" w:firstRow="0" w:lastRow="0" w:firstColumn="0" w:lastColumn="0" w:oddVBand="0" w:evenVBand="0" w:oddHBand="1" w:evenHBand="0" w:firstRowFirstColumn="0" w:firstRowLastColumn="0" w:lastRowFirstColumn="0" w:lastRowLastColumn="0"/>
            </w:pPr>
            <w:r w:rsidRPr="003B263A">
              <w:t>35 jours à compter de la date de l’envoi de l’avis de marché</w:t>
            </w:r>
          </w:p>
        </w:tc>
        <w:tc>
          <w:tcPr>
            <w:tcW w:w="2862" w:type="dxa"/>
          </w:tcPr>
          <w:p w14:paraId="75292BB3" w14:textId="77777777" w:rsidR="003B263A" w:rsidRPr="003B263A" w:rsidRDefault="003B263A" w:rsidP="00B06C77">
            <w:pPr>
              <w:cnfStyle w:val="000000100000" w:firstRow="0" w:lastRow="0" w:firstColumn="0" w:lastColumn="0" w:oddVBand="0" w:evenVBand="0" w:oddHBand="1" w:evenHBand="0" w:firstRowFirstColumn="0" w:firstRowLastColumn="0" w:lastRowFirstColumn="0" w:lastRowLastColumn="0"/>
            </w:pPr>
            <w:r w:rsidRPr="003B263A">
              <w:t xml:space="preserve">Ce délai peut être ramené à 15 jours si l’acheteur a publié un avis de préformation ou un avis périodique indicatif qui n’a pas été utilisé comme avis d’appel à la concurrence. </w:t>
            </w:r>
          </w:p>
          <w:p w14:paraId="477E65B7" w14:textId="77777777" w:rsidR="003B263A" w:rsidRPr="003B263A" w:rsidRDefault="003B263A" w:rsidP="00B06C77">
            <w:pPr>
              <w:cnfStyle w:val="000000100000" w:firstRow="0" w:lastRow="0" w:firstColumn="0" w:lastColumn="0" w:oddVBand="0" w:evenVBand="0" w:oddHBand="1" w:evenHBand="0" w:firstRowFirstColumn="0" w:firstRowLastColumn="0" w:lastRowFirstColumn="0" w:lastRowLastColumn="0"/>
            </w:pPr>
          </w:p>
          <w:p w14:paraId="571108B4" w14:textId="77777777" w:rsidR="003B263A" w:rsidRPr="003B263A" w:rsidRDefault="003B263A" w:rsidP="00B06C77">
            <w:pPr>
              <w:cnfStyle w:val="000000100000" w:firstRow="0" w:lastRow="0" w:firstColumn="0" w:lastColumn="0" w:oddVBand="0" w:evenVBand="0" w:oddHBand="1" w:evenHBand="0" w:firstRowFirstColumn="0" w:firstRowLastColumn="0" w:lastRowFirstColumn="0" w:lastRowLastColumn="0"/>
            </w:pPr>
            <w:r w:rsidRPr="003B263A">
              <w:t xml:space="preserve">30 jours si les candidatures et les offres sont ou peuvent être transmises par voie </w:t>
            </w:r>
            <w:r w:rsidR="00861C65" w:rsidRPr="003B263A">
              <w:t>électronique</w:t>
            </w:r>
          </w:p>
        </w:tc>
      </w:tr>
      <w:tr w:rsidR="003B263A" w14:paraId="7619C649" w14:textId="77777777" w:rsidTr="003B263A">
        <w:trPr>
          <w:trHeight w:val="265"/>
        </w:trPr>
        <w:tc>
          <w:tcPr>
            <w:cnfStyle w:val="001000000000" w:firstRow="0" w:lastRow="0" w:firstColumn="1" w:lastColumn="0" w:oddVBand="0" w:evenVBand="0" w:oddHBand="0" w:evenHBand="0" w:firstRowFirstColumn="0" w:firstRowLastColumn="0" w:lastRowFirstColumn="0" w:lastRowLastColumn="0"/>
            <w:tcW w:w="2862" w:type="dxa"/>
          </w:tcPr>
          <w:p w14:paraId="48BC3CE4" w14:textId="77777777" w:rsidR="003B263A" w:rsidRPr="003B263A" w:rsidRDefault="003B263A" w:rsidP="00B06C77">
            <w:r w:rsidRPr="003B263A">
              <w:t>Dialogue compétitif</w:t>
            </w:r>
            <w:r w:rsidR="00861C65">
              <w:t xml:space="preserve"> (Article 76-I du décret du 25 mars 2016)</w:t>
            </w:r>
          </w:p>
        </w:tc>
        <w:tc>
          <w:tcPr>
            <w:tcW w:w="2862" w:type="dxa"/>
          </w:tcPr>
          <w:p w14:paraId="7878CF3E" w14:textId="77777777" w:rsidR="003B263A" w:rsidRPr="003B263A" w:rsidRDefault="00861C65" w:rsidP="00B06C77">
            <w:pPr>
              <w:cnfStyle w:val="000000000000" w:firstRow="0" w:lastRow="0" w:firstColumn="0" w:lastColumn="0" w:oddVBand="0" w:evenVBand="0" w:oddHBand="0" w:evenHBand="0" w:firstRowFirstColumn="0" w:firstRowLastColumn="0" w:lastRowFirstColumn="0" w:lastRowLastColumn="0"/>
            </w:pPr>
            <w:r>
              <w:t>30 jours à compter de la date de l’envoi de l’avis de marché</w:t>
            </w:r>
          </w:p>
        </w:tc>
        <w:tc>
          <w:tcPr>
            <w:tcW w:w="2862" w:type="dxa"/>
          </w:tcPr>
          <w:p w14:paraId="4DB36440" w14:textId="77777777" w:rsidR="003B263A" w:rsidRPr="003B263A" w:rsidRDefault="00861C65" w:rsidP="00B06C77">
            <w:pPr>
              <w:cnfStyle w:val="000000000000" w:firstRow="0" w:lastRow="0" w:firstColumn="0" w:lastColumn="0" w:oddVBand="0" w:evenVBand="0" w:oddHBand="0" w:evenHBand="0" w:firstRowFirstColumn="0" w:firstRowLastColumn="0" w:lastRowFirstColumn="0" w:lastRowLastColumn="0"/>
            </w:pPr>
            <w:r>
              <w:t>/</w:t>
            </w:r>
          </w:p>
        </w:tc>
      </w:tr>
    </w:tbl>
    <w:p w14:paraId="55D8D2F5" w14:textId="77777777" w:rsidR="006D626A" w:rsidRDefault="006D626A" w:rsidP="00B06C77">
      <w:pPr>
        <w:rPr>
          <w:u w:val="single"/>
        </w:rPr>
      </w:pPr>
    </w:p>
    <w:tbl>
      <w:tblPr>
        <w:tblStyle w:val="Listeclaire-Accent6"/>
        <w:tblW w:w="0" w:type="auto"/>
        <w:tblLook w:val="04A0" w:firstRow="1" w:lastRow="0" w:firstColumn="1" w:lastColumn="0" w:noHBand="0" w:noVBand="1"/>
      </w:tblPr>
      <w:tblGrid>
        <w:gridCol w:w="2885"/>
        <w:gridCol w:w="2885"/>
        <w:gridCol w:w="2885"/>
      </w:tblGrid>
      <w:tr w:rsidR="003B263A" w14:paraId="7998DDF2" w14:textId="77777777" w:rsidTr="00861C65">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885" w:type="dxa"/>
          </w:tcPr>
          <w:p w14:paraId="7A21E554" w14:textId="77777777" w:rsidR="003B263A" w:rsidRPr="003B263A" w:rsidRDefault="003B263A" w:rsidP="00AE35C5">
            <w:r w:rsidRPr="003B263A">
              <w:t>Appel d’offre restreint (article 69 du décret du 25 mars 2016)</w:t>
            </w:r>
          </w:p>
        </w:tc>
        <w:tc>
          <w:tcPr>
            <w:tcW w:w="2885" w:type="dxa"/>
          </w:tcPr>
          <w:p w14:paraId="0167D00A" w14:textId="77777777" w:rsidR="003B263A" w:rsidRPr="003B263A" w:rsidRDefault="003B263A" w:rsidP="00AE35C5">
            <w:pPr>
              <w:cnfStyle w:val="100000000000" w:firstRow="1" w:lastRow="0" w:firstColumn="0" w:lastColumn="0" w:oddVBand="0" w:evenVBand="0" w:oddHBand="0" w:evenHBand="0" w:firstRowFirstColumn="0" w:firstRowLastColumn="0" w:lastRowFirstColumn="0" w:lastRowLastColumn="0"/>
            </w:pPr>
            <w:r w:rsidRPr="003B263A">
              <w:t>Candidature</w:t>
            </w:r>
          </w:p>
        </w:tc>
        <w:tc>
          <w:tcPr>
            <w:tcW w:w="2885" w:type="dxa"/>
          </w:tcPr>
          <w:p w14:paraId="06A4C150" w14:textId="77777777" w:rsidR="003B263A" w:rsidRPr="003B263A" w:rsidRDefault="003B263A" w:rsidP="00AE35C5">
            <w:pPr>
              <w:cnfStyle w:val="100000000000" w:firstRow="1" w:lastRow="0" w:firstColumn="0" w:lastColumn="0" w:oddVBand="0" w:evenVBand="0" w:oddHBand="0" w:evenHBand="0" w:firstRowFirstColumn="0" w:firstRowLastColumn="0" w:lastRowFirstColumn="0" w:lastRowLastColumn="0"/>
            </w:pPr>
            <w:r w:rsidRPr="003B263A">
              <w:t>Offres</w:t>
            </w:r>
          </w:p>
        </w:tc>
      </w:tr>
      <w:tr w:rsidR="003B263A" w14:paraId="556B7D23" w14:textId="77777777" w:rsidTr="00861C6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885" w:type="dxa"/>
          </w:tcPr>
          <w:p w14:paraId="788787FA" w14:textId="77777777" w:rsidR="003B263A" w:rsidRPr="003B263A" w:rsidRDefault="003B263A" w:rsidP="00AE35C5">
            <w:r w:rsidRPr="003B263A">
              <w:t>Délais</w:t>
            </w:r>
          </w:p>
        </w:tc>
        <w:tc>
          <w:tcPr>
            <w:tcW w:w="2885" w:type="dxa"/>
          </w:tcPr>
          <w:p w14:paraId="0278748A" w14:textId="77777777" w:rsidR="003B263A" w:rsidRPr="003B263A" w:rsidRDefault="003B263A" w:rsidP="00AE35C5">
            <w:pPr>
              <w:cnfStyle w:val="000000100000" w:firstRow="0" w:lastRow="0" w:firstColumn="0" w:lastColumn="0" w:oddVBand="0" w:evenVBand="0" w:oddHBand="1" w:evenHBand="0" w:firstRowFirstColumn="0" w:firstRowLastColumn="0" w:lastRowFirstColumn="0" w:lastRowLastColumn="0"/>
            </w:pPr>
            <w:r w:rsidRPr="003B263A">
              <w:t>30 jours</w:t>
            </w:r>
          </w:p>
        </w:tc>
        <w:tc>
          <w:tcPr>
            <w:tcW w:w="2885" w:type="dxa"/>
          </w:tcPr>
          <w:p w14:paraId="621B8934" w14:textId="77777777" w:rsidR="003B263A" w:rsidRPr="003B263A" w:rsidRDefault="003B263A" w:rsidP="00AE35C5">
            <w:pPr>
              <w:cnfStyle w:val="000000100000" w:firstRow="0" w:lastRow="0" w:firstColumn="0" w:lastColumn="0" w:oddVBand="0" w:evenVBand="0" w:oddHBand="1" w:evenHBand="0" w:firstRowFirstColumn="0" w:firstRowLastColumn="0" w:lastRowFirstColumn="0" w:lastRowLastColumn="0"/>
            </w:pPr>
            <w:r w:rsidRPr="003B263A">
              <w:t>30 jours</w:t>
            </w:r>
          </w:p>
        </w:tc>
      </w:tr>
      <w:tr w:rsidR="003B263A" w14:paraId="5AADF02F" w14:textId="77777777" w:rsidTr="00861C65">
        <w:trPr>
          <w:trHeight w:val="150"/>
        </w:trPr>
        <w:tc>
          <w:tcPr>
            <w:cnfStyle w:val="001000000000" w:firstRow="0" w:lastRow="0" w:firstColumn="1" w:lastColumn="0" w:oddVBand="0" w:evenVBand="0" w:oddHBand="0" w:evenHBand="0" w:firstRowFirstColumn="0" w:firstRowLastColumn="0" w:lastRowFirstColumn="0" w:lastRowLastColumn="0"/>
            <w:tcW w:w="2885" w:type="dxa"/>
          </w:tcPr>
          <w:p w14:paraId="17AC921E" w14:textId="77777777" w:rsidR="003B263A" w:rsidRPr="003B263A" w:rsidRDefault="003B263A" w:rsidP="00AE35C5">
            <w:r w:rsidRPr="003B263A">
              <w:t>Si avis de pré</w:t>
            </w:r>
            <w:r w:rsidR="005761B8">
              <w:t>-</w:t>
            </w:r>
            <w:r w:rsidRPr="003B263A">
              <w:t>information</w:t>
            </w:r>
          </w:p>
        </w:tc>
        <w:tc>
          <w:tcPr>
            <w:tcW w:w="2885" w:type="dxa"/>
          </w:tcPr>
          <w:p w14:paraId="526E39AD" w14:textId="77777777" w:rsidR="003B263A" w:rsidRPr="003B263A" w:rsidRDefault="003B263A" w:rsidP="00AE35C5">
            <w:pPr>
              <w:cnfStyle w:val="000000000000" w:firstRow="0" w:lastRow="0" w:firstColumn="0" w:lastColumn="0" w:oddVBand="0" w:evenVBand="0" w:oddHBand="0" w:evenHBand="0" w:firstRowFirstColumn="0" w:firstRowLastColumn="0" w:lastRowFirstColumn="0" w:lastRowLastColumn="0"/>
            </w:pPr>
            <w:r w:rsidRPr="003B263A">
              <w:t>/</w:t>
            </w:r>
          </w:p>
        </w:tc>
        <w:tc>
          <w:tcPr>
            <w:tcW w:w="2885" w:type="dxa"/>
          </w:tcPr>
          <w:p w14:paraId="69A78533" w14:textId="77777777" w:rsidR="003B263A" w:rsidRPr="003B263A" w:rsidRDefault="003B263A" w:rsidP="00AE35C5">
            <w:pPr>
              <w:cnfStyle w:val="000000000000" w:firstRow="0" w:lastRow="0" w:firstColumn="0" w:lastColumn="0" w:oddVBand="0" w:evenVBand="0" w:oddHBand="0" w:evenHBand="0" w:firstRowFirstColumn="0" w:firstRowLastColumn="0" w:lastRowFirstColumn="0" w:lastRowLastColumn="0"/>
            </w:pPr>
            <w:r w:rsidRPr="003B263A">
              <w:t>10 jours</w:t>
            </w:r>
          </w:p>
        </w:tc>
      </w:tr>
      <w:tr w:rsidR="003B263A" w14:paraId="5899E80F" w14:textId="77777777" w:rsidTr="00861C6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885" w:type="dxa"/>
          </w:tcPr>
          <w:p w14:paraId="5DE4222D" w14:textId="77777777" w:rsidR="003B263A" w:rsidRPr="003B263A" w:rsidRDefault="003B263A" w:rsidP="006D626A">
            <w:r w:rsidRPr="003B263A">
              <w:lastRenderedPageBreak/>
              <w:t>Si les offres sont ou peuvent être transmises par voie électronique</w:t>
            </w:r>
          </w:p>
        </w:tc>
        <w:tc>
          <w:tcPr>
            <w:tcW w:w="2885" w:type="dxa"/>
          </w:tcPr>
          <w:p w14:paraId="13FFEFCB" w14:textId="77777777" w:rsidR="003B263A" w:rsidRPr="003B263A" w:rsidRDefault="003B263A" w:rsidP="00AE35C5">
            <w:pPr>
              <w:cnfStyle w:val="000000100000" w:firstRow="0" w:lastRow="0" w:firstColumn="0" w:lastColumn="0" w:oddVBand="0" w:evenVBand="0" w:oddHBand="1" w:evenHBand="0" w:firstRowFirstColumn="0" w:firstRowLastColumn="0" w:lastRowFirstColumn="0" w:lastRowLastColumn="0"/>
            </w:pPr>
            <w:r w:rsidRPr="003B263A">
              <w:t>/</w:t>
            </w:r>
          </w:p>
        </w:tc>
        <w:tc>
          <w:tcPr>
            <w:tcW w:w="2885" w:type="dxa"/>
          </w:tcPr>
          <w:p w14:paraId="5C9EF13F" w14:textId="77777777" w:rsidR="003B263A" w:rsidRPr="003B263A" w:rsidRDefault="003B263A" w:rsidP="00AE35C5">
            <w:pPr>
              <w:cnfStyle w:val="000000100000" w:firstRow="0" w:lastRow="0" w:firstColumn="0" w:lastColumn="0" w:oddVBand="0" w:evenVBand="0" w:oddHBand="1" w:evenHBand="0" w:firstRowFirstColumn="0" w:firstRowLastColumn="0" w:lastRowFirstColumn="0" w:lastRowLastColumn="0"/>
            </w:pPr>
            <w:r w:rsidRPr="003B263A">
              <w:t>25 jours</w:t>
            </w:r>
          </w:p>
        </w:tc>
      </w:tr>
      <w:tr w:rsidR="003B263A" w14:paraId="44F0AA24" w14:textId="77777777" w:rsidTr="00861C65">
        <w:trPr>
          <w:trHeight w:val="150"/>
        </w:trPr>
        <w:tc>
          <w:tcPr>
            <w:cnfStyle w:val="001000000000" w:firstRow="0" w:lastRow="0" w:firstColumn="1" w:lastColumn="0" w:oddVBand="0" w:evenVBand="0" w:oddHBand="0" w:evenHBand="0" w:firstRowFirstColumn="0" w:firstRowLastColumn="0" w:lastRowFirstColumn="0" w:lastRowLastColumn="0"/>
            <w:tcW w:w="2885" w:type="dxa"/>
          </w:tcPr>
          <w:p w14:paraId="2368700D" w14:textId="77777777" w:rsidR="003B263A" w:rsidRPr="003B263A" w:rsidRDefault="003B263A" w:rsidP="00AE35C5">
            <w:r w:rsidRPr="003B263A">
              <w:t>Situation d’urgence</w:t>
            </w:r>
          </w:p>
        </w:tc>
        <w:tc>
          <w:tcPr>
            <w:tcW w:w="2885" w:type="dxa"/>
          </w:tcPr>
          <w:p w14:paraId="789F6C13" w14:textId="77777777" w:rsidR="003B263A" w:rsidRPr="003B263A" w:rsidRDefault="003B263A" w:rsidP="00AE35C5">
            <w:pPr>
              <w:cnfStyle w:val="000000000000" w:firstRow="0" w:lastRow="0" w:firstColumn="0" w:lastColumn="0" w:oddVBand="0" w:evenVBand="0" w:oddHBand="0" w:evenHBand="0" w:firstRowFirstColumn="0" w:firstRowLastColumn="0" w:lastRowFirstColumn="0" w:lastRowLastColumn="0"/>
            </w:pPr>
            <w:r w:rsidRPr="003B263A">
              <w:t>15 jours</w:t>
            </w:r>
          </w:p>
        </w:tc>
        <w:tc>
          <w:tcPr>
            <w:tcW w:w="2885" w:type="dxa"/>
          </w:tcPr>
          <w:p w14:paraId="17020E70" w14:textId="77777777" w:rsidR="003B263A" w:rsidRPr="003B263A" w:rsidRDefault="003B263A" w:rsidP="00AE35C5">
            <w:pPr>
              <w:cnfStyle w:val="000000000000" w:firstRow="0" w:lastRow="0" w:firstColumn="0" w:lastColumn="0" w:oddVBand="0" w:evenVBand="0" w:oddHBand="0" w:evenHBand="0" w:firstRowFirstColumn="0" w:firstRowLastColumn="0" w:lastRowFirstColumn="0" w:lastRowLastColumn="0"/>
            </w:pPr>
            <w:r w:rsidRPr="003B263A">
              <w:t>15 jours</w:t>
            </w:r>
          </w:p>
        </w:tc>
      </w:tr>
    </w:tbl>
    <w:p w14:paraId="5FBBFD8B" w14:textId="77777777" w:rsidR="00222A95" w:rsidRDefault="00222A95" w:rsidP="00B06C77">
      <w:pPr>
        <w:rPr>
          <w:u w:val="single"/>
        </w:rPr>
      </w:pPr>
    </w:p>
    <w:tbl>
      <w:tblPr>
        <w:tblStyle w:val="Listeclaire-Accent6"/>
        <w:tblW w:w="0" w:type="auto"/>
        <w:tblLook w:val="04A0" w:firstRow="1" w:lastRow="0" w:firstColumn="1" w:lastColumn="0" w:noHBand="0" w:noVBand="1"/>
      </w:tblPr>
      <w:tblGrid>
        <w:gridCol w:w="2888"/>
        <w:gridCol w:w="2888"/>
        <w:gridCol w:w="2888"/>
      </w:tblGrid>
      <w:tr w:rsidR="006D626A" w:rsidRPr="003B263A" w14:paraId="5DC9BFF2" w14:textId="77777777" w:rsidTr="00F5308F">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888" w:type="dxa"/>
          </w:tcPr>
          <w:p w14:paraId="49FAAEDD" w14:textId="77777777" w:rsidR="006D626A" w:rsidRPr="003B263A" w:rsidRDefault="006D626A" w:rsidP="006D626A">
            <w:pPr>
              <w:jc w:val="left"/>
            </w:pPr>
            <w:r>
              <w:t xml:space="preserve">Procédure </w:t>
            </w:r>
            <w:r w:rsidRPr="003B263A">
              <w:t>concurrentielle avec négociation</w:t>
            </w:r>
            <w:r>
              <w:t xml:space="preserve"> (articles 72-I et 72-II du décret du 25 mars 2016)</w:t>
            </w:r>
          </w:p>
        </w:tc>
        <w:tc>
          <w:tcPr>
            <w:tcW w:w="2888" w:type="dxa"/>
          </w:tcPr>
          <w:p w14:paraId="3113274F" w14:textId="77777777" w:rsidR="006D626A" w:rsidRPr="003B263A" w:rsidRDefault="006D626A" w:rsidP="00AE35C5">
            <w:pPr>
              <w:cnfStyle w:val="100000000000" w:firstRow="1" w:lastRow="0" w:firstColumn="0" w:lastColumn="0" w:oddVBand="0" w:evenVBand="0" w:oddHBand="0" w:evenHBand="0" w:firstRowFirstColumn="0" w:firstRowLastColumn="0" w:lastRowFirstColumn="0" w:lastRowLastColumn="0"/>
            </w:pPr>
            <w:r w:rsidRPr="003B263A">
              <w:t>Candidature</w:t>
            </w:r>
          </w:p>
        </w:tc>
        <w:tc>
          <w:tcPr>
            <w:tcW w:w="2888" w:type="dxa"/>
          </w:tcPr>
          <w:p w14:paraId="46D7BF11" w14:textId="77777777" w:rsidR="006D626A" w:rsidRPr="003B263A" w:rsidRDefault="006D626A" w:rsidP="00AE35C5">
            <w:pPr>
              <w:cnfStyle w:val="100000000000" w:firstRow="1" w:lastRow="0" w:firstColumn="0" w:lastColumn="0" w:oddVBand="0" w:evenVBand="0" w:oddHBand="0" w:evenHBand="0" w:firstRowFirstColumn="0" w:firstRowLastColumn="0" w:lastRowFirstColumn="0" w:lastRowLastColumn="0"/>
            </w:pPr>
            <w:r w:rsidRPr="003B263A">
              <w:t>Offres</w:t>
            </w:r>
          </w:p>
        </w:tc>
      </w:tr>
      <w:tr w:rsidR="006D626A" w:rsidRPr="003B263A" w14:paraId="426C3B51" w14:textId="77777777" w:rsidTr="00F5308F">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888" w:type="dxa"/>
          </w:tcPr>
          <w:p w14:paraId="1FD59FC7" w14:textId="77777777" w:rsidR="006D626A" w:rsidRPr="003B263A" w:rsidRDefault="006D626A" w:rsidP="00AE35C5">
            <w:r w:rsidRPr="003B263A">
              <w:t>Délais</w:t>
            </w:r>
          </w:p>
        </w:tc>
        <w:tc>
          <w:tcPr>
            <w:tcW w:w="2888" w:type="dxa"/>
          </w:tcPr>
          <w:p w14:paraId="615F483E" w14:textId="77777777" w:rsidR="006D626A" w:rsidRPr="003B263A" w:rsidRDefault="006D626A" w:rsidP="00AE35C5">
            <w:pPr>
              <w:cnfStyle w:val="000000100000" w:firstRow="0" w:lastRow="0" w:firstColumn="0" w:lastColumn="0" w:oddVBand="0" w:evenVBand="0" w:oddHBand="1" w:evenHBand="0" w:firstRowFirstColumn="0" w:firstRowLastColumn="0" w:lastRowFirstColumn="0" w:lastRowLastColumn="0"/>
            </w:pPr>
            <w:r w:rsidRPr="003B263A">
              <w:t>30 jours</w:t>
            </w:r>
          </w:p>
        </w:tc>
        <w:tc>
          <w:tcPr>
            <w:tcW w:w="2888" w:type="dxa"/>
          </w:tcPr>
          <w:p w14:paraId="1F636025" w14:textId="77777777" w:rsidR="006D626A" w:rsidRPr="003B263A" w:rsidRDefault="006D626A" w:rsidP="00AE35C5">
            <w:pPr>
              <w:cnfStyle w:val="000000100000" w:firstRow="0" w:lastRow="0" w:firstColumn="0" w:lastColumn="0" w:oddVBand="0" w:evenVBand="0" w:oddHBand="1" w:evenHBand="0" w:firstRowFirstColumn="0" w:firstRowLastColumn="0" w:lastRowFirstColumn="0" w:lastRowLastColumn="0"/>
            </w:pPr>
            <w:r w:rsidRPr="003B263A">
              <w:t>30 jours</w:t>
            </w:r>
          </w:p>
        </w:tc>
      </w:tr>
      <w:tr w:rsidR="006D626A" w:rsidRPr="003B263A" w14:paraId="0608F268" w14:textId="77777777" w:rsidTr="00F5308F">
        <w:trPr>
          <w:trHeight w:val="151"/>
        </w:trPr>
        <w:tc>
          <w:tcPr>
            <w:cnfStyle w:val="001000000000" w:firstRow="0" w:lastRow="0" w:firstColumn="1" w:lastColumn="0" w:oddVBand="0" w:evenVBand="0" w:oddHBand="0" w:evenHBand="0" w:firstRowFirstColumn="0" w:firstRowLastColumn="0" w:lastRowFirstColumn="0" w:lastRowLastColumn="0"/>
            <w:tcW w:w="2888" w:type="dxa"/>
          </w:tcPr>
          <w:p w14:paraId="4D2C5E07" w14:textId="77777777" w:rsidR="006D626A" w:rsidRPr="003B263A" w:rsidRDefault="006D626A" w:rsidP="00AE35C5">
            <w:r w:rsidRPr="003B263A">
              <w:t>Si avis de pré</w:t>
            </w:r>
            <w:r w:rsidR="005761B8">
              <w:t>-</w:t>
            </w:r>
            <w:r w:rsidRPr="003B263A">
              <w:t>information</w:t>
            </w:r>
          </w:p>
        </w:tc>
        <w:tc>
          <w:tcPr>
            <w:tcW w:w="2888" w:type="dxa"/>
          </w:tcPr>
          <w:p w14:paraId="3A2016F3" w14:textId="77777777" w:rsidR="006D626A" w:rsidRPr="003B263A" w:rsidRDefault="006D626A" w:rsidP="00AE35C5">
            <w:pPr>
              <w:cnfStyle w:val="000000000000" w:firstRow="0" w:lastRow="0" w:firstColumn="0" w:lastColumn="0" w:oddVBand="0" w:evenVBand="0" w:oddHBand="0" w:evenHBand="0" w:firstRowFirstColumn="0" w:firstRowLastColumn="0" w:lastRowFirstColumn="0" w:lastRowLastColumn="0"/>
            </w:pPr>
            <w:r w:rsidRPr="003B263A">
              <w:t>/</w:t>
            </w:r>
          </w:p>
        </w:tc>
        <w:tc>
          <w:tcPr>
            <w:tcW w:w="2888" w:type="dxa"/>
          </w:tcPr>
          <w:p w14:paraId="7C1D2B09" w14:textId="77777777" w:rsidR="006D626A" w:rsidRPr="003B263A" w:rsidRDefault="006D626A" w:rsidP="00AE35C5">
            <w:pPr>
              <w:cnfStyle w:val="000000000000" w:firstRow="0" w:lastRow="0" w:firstColumn="0" w:lastColumn="0" w:oddVBand="0" w:evenVBand="0" w:oddHBand="0" w:evenHBand="0" w:firstRowFirstColumn="0" w:firstRowLastColumn="0" w:lastRowFirstColumn="0" w:lastRowLastColumn="0"/>
            </w:pPr>
            <w:r w:rsidRPr="003B263A">
              <w:t>10 jours</w:t>
            </w:r>
          </w:p>
        </w:tc>
      </w:tr>
      <w:tr w:rsidR="006D626A" w:rsidRPr="003B263A" w14:paraId="3AF45400" w14:textId="77777777" w:rsidTr="00F5308F">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888" w:type="dxa"/>
          </w:tcPr>
          <w:p w14:paraId="20483642" w14:textId="77777777" w:rsidR="006D626A" w:rsidRPr="003B263A" w:rsidRDefault="006D626A" w:rsidP="006D626A">
            <w:r>
              <w:t>Si les offres sont</w:t>
            </w:r>
            <w:r w:rsidRPr="003B263A">
              <w:t xml:space="preserve"> ou peuvent être transmises par voie électronique</w:t>
            </w:r>
          </w:p>
        </w:tc>
        <w:tc>
          <w:tcPr>
            <w:tcW w:w="2888" w:type="dxa"/>
          </w:tcPr>
          <w:p w14:paraId="0D56377B" w14:textId="77777777" w:rsidR="006D626A" w:rsidRPr="003B263A" w:rsidRDefault="006D626A" w:rsidP="00AE35C5">
            <w:pPr>
              <w:cnfStyle w:val="000000100000" w:firstRow="0" w:lastRow="0" w:firstColumn="0" w:lastColumn="0" w:oddVBand="0" w:evenVBand="0" w:oddHBand="1" w:evenHBand="0" w:firstRowFirstColumn="0" w:firstRowLastColumn="0" w:lastRowFirstColumn="0" w:lastRowLastColumn="0"/>
            </w:pPr>
            <w:r w:rsidRPr="003B263A">
              <w:t>/</w:t>
            </w:r>
          </w:p>
        </w:tc>
        <w:tc>
          <w:tcPr>
            <w:tcW w:w="2888" w:type="dxa"/>
          </w:tcPr>
          <w:p w14:paraId="3F9B1152" w14:textId="77777777" w:rsidR="006D626A" w:rsidRPr="003B263A" w:rsidRDefault="006D626A" w:rsidP="00AE35C5">
            <w:pPr>
              <w:cnfStyle w:val="000000100000" w:firstRow="0" w:lastRow="0" w:firstColumn="0" w:lastColumn="0" w:oddVBand="0" w:evenVBand="0" w:oddHBand="1" w:evenHBand="0" w:firstRowFirstColumn="0" w:firstRowLastColumn="0" w:lastRowFirstColumn="0" w:lastRowLastColumn="0"/>
            </w:pPr>
            <w:r w:rsidRPr="003B263A">
              <w:t>25 jours</w:t>
            </w:r>
          </w:p>
        </w:tc>
      </w:tr>
      <w:tr w:rsidR="006D626A" w:rsidRPr="003B263A" w14:paraId="3520C4BF" w14:textId="77777777" w:rsidTr="00F5308F">
        <w:trPr>
          <w:trHeight w:val="151"/>
        </w:trPr>
        <w:tc>
          <w:tcPr>
            <w:cnfStyle w:val="001000000000" w:firstRow="0" w:lastRow="0" w:firstColumn="1" w:lastColumn="0" w:oddVBand="0" w:evenVBand="0" w:oddHBand="0" w:evenHBand="0" w:firstRowFirstColumn="0" w:firstRowLastColumn="0" w:lastRowFirstColumn="0" w:lastRowLastColumn="0"/>
            <w:tcW w:w="2888" w:type="dxa"/>
          </w:tcPr>
          <w:p w14:paraId="4A475C57" w14:textId="77777777" w:rsidR="006D626A" w:rsidRPr="003B263A" w:rsidRDefault="006D626A" w:rsidP="00AE35C5">
            <w:r w:rsidRPr="003B263A">
              <w:t>Situation d’urgence</w:t>
            </w:r>
          </w:p>
        </w:tc>
        <w:tc>
          <w:tcPr>
            <w:tcW w:w="2888" w:type="dxa"/>
          </w:tcPr>
          <w:p w14:paraId="2EAE555D" w14:textId="77777777" w:rsidR="006D626A" w:rsidRPr="003B263A" w:rsidRDefault="006D626A" w:rsidP="00AE35C5">
            <w:pPr>
              <w:cnfStyle w:val="000000000000" w:firstRow="0" w:lastRow="0" w:firstColumn="0" w:lastColumn="0" w:oddVBand="0" w:evenVBand="0" w:oddHBand="0" w:evenHBand="0" w:firstRowFirstColumn="0" w:firstRowLastColumn="0" w:lastRowFirstColumn="0" w:lastRowLastColumn="0"/>
            </w:pPr>
            <w:r w:rsidRPr="003B263A">
              <w:t>15 jours</w:t>
            </w:r>
          </w:p>
        </w:tc>
        <w:tc>
          <w:tcPr>
            <w:tcW w:w="2888" w:type="dxa"/>
          </w:tcPr>
          <w:p w14:paraId="710DAFDE" w14:textId="77777777" w:rsidR="006D626A" w:rsidRPr="003B263A" w:rsidRDefault="006D626A" w:rsidP="00AE35C5">
            <w:pPr>
              <w:cnfStyle w:val="000000000000" w:firstRow="0" w:lastRow="0" w:firstColumn="0" w:lastColumn="0" w:oddVBand="0" w:evenVBand="0" w:oddHBand="0" w:evenHBand="0" w:firstRowFirstColumn="0" w:firstRowLastColumn="0" w:lastRowFirstColumn="0" w:lastRowLastColumn="0"/>
            </w:pPr>
            <w:r>
              <w:t>10</w:t>
            </w:r>
            <w:r w:rsidRPr="003B263A">
              <w:t xml:space="preserve"> jours</w:t>
            </w:r>
          </w:p>
        </w:tc>
      </w:tr>
    </w:tbl>
    <w:p w14:paraId="452898D8" w14:textId="77777777" w:rsidR="00B06C77" w:rsidRDefault="00B06C77" w:rsidP="00B06C77">
      <w:pPr>
        <w:rPr>
          <w:b/>
        </w:rPr>
      </w:pPr>
    </w:p>
    <w:p w14:paraId="417C7EEB" w14:textId="77777777" w:rsidR="00AA2206" w:rsidRPr="00AA2206" w:rsidRDefault="00AA2206" w:rsidP="00AA2206">
      <w:pPr>
        <w:rPr>
          <w:i/>
        </w:rPr>
      </w:pPr>
      <w:r w:rsidRPr="00AA2206">
        <w:rPr>
          <w:b/>
          <w:i/>
          <w:color w:val="FF0000"/>
          <w:u w:val="single"/>
        </w:rPr>
        <w:t>/</w:t>
      </w:r>
      <w:r w:rsidR="00787378" w:rsidRPr="00AA2206">
        <w:rPr>
          <w:b/>
          <w:i/>
          <w:color w:val="FF0000"/>
          <w:u w:val="single"/>
        </w:rPr>
        <w:t> ! \</w:t>
      </w:r>
      <w:r w:rsidRPr="00AA2206">
        <w:rPr>
          <w:b/>
          <w:i/>
          <w:color w:val="FF0000"/>
          <w:u w:val="single"/>
        </w:rPr>
        <w:t> :</w:t>
      </w:r>
      <w:r w:rsidRPr="00AA2206">
        <w:rPr>
          <w:i/>
        </w:rPr>
        <w:t xml:space="preserve"> Depuis la publication des directives 2014/24/UE et 2014/25/UE il est prévu que, pour candidater à un marché public, un opérateur économique peut remettre à l’acheteur (à la place de l’ensemble des documents justifiant de ses capacités) </w:t>
      </w:r>
      <w:r w:rsidRPr="00AA2206">
        <w:rPr>
          <w:b/>
          <w:i/>
        </w:rPr>
        <w:t>un document unique de marché européen (DUME)</w:t>
      </w:r>
      <w:r w:rsidRPr="00AA2206">
        <w:rPr>
          <w:rStyle w:val="Appelnotedebasdep"/>
          <w:b/>
          <w:i/>
        </w:rPr>
        <w:footnoteReference w:id="17"/>
      </w:r>
      <w:r w:rsidRPr="00AA2206">
        <w:rPr>
          <w:i/>
        </w:rPr>
        <w:t xml:space="preserve"> consistant en une déclaration sur l’honneur et élaboré sur la base d’un formulaire-type établi par la Commission européenne. Depuis juillet 2016, la Commission européenne a ouvert un service en ligne gratuit pour créer ce document sous format électronique ou "E-DUME". </w:t>
      </w:r>
      <w:r w:rsidRPr="00AA2206">
        <w:rPr>
          <w:b/>
          <w:i/>
        </w:rPr>
        <w:t xml:space="preserve">Le règlement rend le formulaire obligatoire pour toutes les procédures formalisées, </w:t>
      </w:r>
      <w:r w:rsidRPr="00AA2206">
        <w:rPr>
          <w:i/>
        </w:rPr>
        <w:t xml:space="preserve">l’acheteur public ne peut pas refuser une candidature au format DUME. En revanche, le règlement laisse la possibilité aux États membres de l’appliquer également pour les marchés dont le montant est inférieur aux seuils européens ainsi que pour les contrats de concession. Les entreprises quant à elles n’ont pas d’obligation, elles sont libres de choisir le support qu’elles préfèrent. </w:t>
      </w:r>
    </w:p>
    <w:p w14:paraId="601DDF27" w14:textId="77777777" w:rsidR="00AA2206" w:rsidRPr="00B06C77" w:rsidRDefault="00AA2206" w:rsidP="00B06C77">
      <w:pPr>
        <w:rPr>
          <w:b/>
        </w:rPr>
      </w:pPr>
    </w:p>
    <w:p w14:paraId="7506B694" w14:textId="77777777" w:rsidR="000C5AB0" w:rsidRDefault="000C5AB0" w:rsidP="00C27CCB">
      <w:pPr>
        <w:jc w:val="center"/>
        <w:rPr>
          <w:b/>
          <w:color w:val="31849B" w:themeColor="accent5" w:themeShade="BF"/>
        </w:rPr>
      </w:pPr>
      <w:r w:rsidRPr="00CB5124">
        <w:rPr>
          <w:b/>
          <w:color w:val="31849B" w:themeColor="accent5" w:themeShade="BF"/>
        </w:rPr>
        <w:t>Procédures adaptées</w:t>
      </w:r>
    </w:p>
    <w:p w14:paraId="1D973CAF" w14:textId="77777777" w:rsidR="00C27CCB" w:rsidRDefault="00C27CCB" w:rsidP="00C27CCB">
      <w:pPr>
        <w:jc w:val="center"/>
        <w:rPr>
          <w:b/>
          <w:color w:val="31849B" w:themeColor="accent5" w:themeShade="BF"/>
        </w:rPr>
      </w:pPr>
    </w:p>
    <w:p w14:paraId="4DFFD539" w14:textId="77777777" w:rsidR="00C27CCB" w:rsidRDefault="00C27CCB" w:rsidP="00C27CCB">
      <w:r w:rsidRPr="00C27CCB">
        <w:t xml:space="preserve">Lorsque la valeur estimée du besoin est inférieure aux seuils de procédure formalisée, </w:t>
      </w:r>
      <w:r>
        <w:t>l’acheteur</w:t>
      </w:r>
      <w:r w:rsidRPr="00C27CCB">
        <w:t xml:space="preserve"> peut recourir à une procédure adaptée dont il détermine librement les modalités en fonction de la nature et des caractéristiques du besoin à satisfaire, du nombre ou de la localisation des opérateurs économiques susceptibles d’y répondre</w:t>
      </w:r>
      <w:r w:rsidR="00FF4D08">
        <w:rPr>
          <w:rStyle w:val="Appelnotedebasdep"/>
        </w:rPr>
        <w:footnoteReference w:id="18"/>
      </w:r>
      <w:r w:rsidR="00FF4D08">
        <w:t>.</w:t>
      </w:r>
    </w:p>
    <w:p w14:paraId="6AA3C8C4" w14:textId="77777777" w:rsidR="0068687E" w:rsidRDefault="0068687E" w:rsidP="00B06C77"/>
    <w:p w14:paraId="2859F7F9" w14:textId="77777777" w:rsidR="0068687E" w:rsidRDefault="0068687E" w:rsidP="00B06C77"/>
    <w:p w14:paraId="1E8ACD19" w14:textId="77777777" w:rsidR="00B06C77" w:rsidRPr="00C14133" w:rsidRDefault="00B06C77" w:rsidP="00B06C77">
      <w:pPr>
        <w:rPr>
          <w:u w:val="single"/>
        </w:rPr>
      </w:pPr>
      <w:r w:rsidRPr="00C14133">
        <w:rPr>
          <w:u w:val="single"/>
        </w:rPr>
        <w:t>Publication de l’avis de marché</w:t>
      </w:r>
      <w:r w:rsidR="00507009">
        <w:rPr>
          <w:u w:val="single"/>
        </w:rPr>
        <w:t xml:space="preserve"> et seuils</w:t>
      </w:r>
      <w:r w:rsidR="00507009">
        <w:rPr>
          <w:rStyle w:val="Appelnotedebasdep"/>
          <w:u w:val="single"/>
        </w:rPr>
        <w:footnoteReference w:id="19"/>
      </w:r>
    </w:p>
    <w:p w14:paraId="4DEAF00E" w14:textId="77777777" w:rsidR="00B06C77" w:rsidRDefault="00B06C77" w:rsidP="00B06C77">
      <w:pPr>
        <w:rPr>
          <w:u w:val="single"/>
        </w:rPr>
      </w:pPr>
    </w:p>
    <w:p w14:paraId="490816DC" w14:textId="77777777" w:rsidR="000C7704" w:rsidRPr="000C7704" w:rsidRDefault="000C7704" w:rsidP="00B06C77">
      <w:pPr>
        <w:rPr>
          <w:color w:val="4BACC6" w:themeColor="accent5"/>
          <w:u w:val="single"/>
        </w:rPr>
      </w:pPr>
      <w:r w:rsidRPr="000C7704">
        <w:rPr>
          <w:color w:val="4BACC6" w:themeColor="accent5"/>
          <w:u w:val="single"/>
        </w:rPr>
        <w:t>Avant le 1</w:t>
      </w:r>
      <w:r w:rsidRPr="000C7704">
        <w:rPr>
          <w:color w:val="4BACC6" w:themeColor="accent5"/>
          <w:u w:val="single"/>
          <w:vertAlign w:val="superscript"/>
        </w:rPr>
        <w:t>e</w:t>
      </w:r>
      <w:r w:rsidRPr="000C7704">
        <w:rPr>
          <w:color w:val="4BACC6" w:themeColor="accent5"/>
          <w:u w:val="single"/>
        </w:rPr>
        <w:t xml:space="preserve"> janvier 2020</w:t>
      </w:r>
    </w:p>
    <w:tbl>
      <w:tblPr>
        <w:tblStyle w:val="Listeclaire-Accent5"/>
        <w:tblW w:w="0" w:type="auto"/>
        <w:tblLook w:val="04A0" w:firstRow="1" w:lastRow="0" w:firstColumn="1" w:lastColumn="0" w:noHBand="0" w:noVBand="1"/>
      </w:tblPr>
      <w:tblGrid>
        <w:gridCol w:w="4238"/>
        <w:gridCol w:w="4238"/>
      </w:tblGrid>
      <w:tr w:rsidR="006473D3" w14:paraId="048B5990" w14:textId="77777777" w:rsidTr="006473D3">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476" w:type="dxa"/>
            <w:gridSpan w:val="2"/>
          </w:tcPr>
          <w:p w14:paraId="5661E497" w14:textId="77777777" w:rsidR="006473D3" w:rsidRDefault="006473D3" w:rsidP="006473D3">
            <w:pPr>
              <w:jc w:val="center"/>
            </w:pPr>
            <w:r>
              <w:t>Marchés publics de l’Etat ses établissements publics autres qu’à caractère industriel et commercial, les collectivités territoriales, leurs établissements publics et leurs groupements</w:t>
            </w:r>
          </w:p>
        </w:tc>
      </w:tr>
      <w:tr w:rsidR="006473D3" w14:paraId="555042A0" w14:textId="77777777" w:rsidTr="00647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38" w:type="dxa"/>
          </w:tcPr>
          <w:p w14:paraId="70F7A195" w14:textId="77777777" w:rsidR="006473D3" w:rsidRDefault="006473D3" w:rsidP="00C27CCB">
            <w:r>
              <w:t>Seuils</w:t>
            </w:r>
          </w:p>
        </w:tc>
        <w:tc>
          <w:tcPr>
            <w:tcW w:w="4238" w:type="dxa"/>
          </w:tcPr>
          <w:p w14:paraId="66FEBAC7" w14:textId="77777777" w:rsidR="006473D3" w:rsidRDefault="006473D3" w:rsidP="00C27CCB">
            <w:pPr>
              <w:cnfStyle w:val="000000100000" w:firstRow="0" w:lastRow="0" w:firstColumn="0" w:lastColumn="0" w:oddVBand="0" w:evenVBand="0" w:oddHBand="1" w:evenHBand="0" w:firstRowFirstColumn="0" w:firstRowLastColumn="0" w:lastRowFirstColumn="0" w:lastRowLastColumn="0"/>
            </w:pPr>
            <w:r>
              <w:t>Obligation de publicité</w:t>
            </w:r>
          </w:p>
        </w:tc>
      </w:tr>
      <w:tr w:rsidR="006473D3" w14:paraId="4531CE6F" w14:textId="77777777" w:rsidTr="006473D3">
        <w:trPr>
          <w:trHeight w:val="268"/>
        </w:trPr>
        <w:tc>
          <w:tcPr>
            <w:cnfStyle w:val="001000000000" w:firstRow="0" w:lastRow="0" w:firstColumn="1" w:lastColumn="0" w:oddVBand="0" w:evenVBand="0" w:oddHBand="0" w:evenHBand="0" w:firstRowFirstColumn="0" w:firstRowLastColumn="0" w:lastRowFirstColumn="0" w:lastRowLastColumn="0"/>
            <w:tcW w:w="4238" w:type="dxa"/>
          </w:tcPr>
          <w:p w14:paraId="0318E845" w14:textId="77777777" w:rsidR="006473D3" w:rsidRDefault="006473D3" w:rsidP="00C27CCB">
            <w:r>
              <w:t>0€ à 25 000€ HT</w:t>
            </w:r>
          </w:p>
        </w:tc>
        <w:tc>
          <w:tcPr>
            <w:tcW w:w="4238" w:type="dxa"/>
          </w:tcPr>
          <w:p w14:paraId="6D934102" w14:textId="77777777" w:rsidR="006473D3" w:rsidRDefault="006473D3" w:rsidP="00C27CCB">
            <w:pPr>
              <w:cnfStyle w:val="000000000000" w:firstRow="0" w:lastRow="0" w:firstColumn="0" w:lastColumn="0" w:oddVBand="0" w:evenVBand="0" w:oddHBand="0" w:evenHBand="0" w:firstRowFirstColumn="0" w:firstRowLastColumn="0" w:lastRowFirstColumn="0" w:lastRowLastColumn="0"/>
            </w:pPr>
            <w:r>
              <w:t>Publicité facultative</w:t>
            </w:r>
            <w:r w:rsidR="00096F53">
              <w:rPr>
                <w:rStyle w:val="Appelnotedebasdep"/>
              </w:rPr>
              <w:footnoteReference w:id="20"/>
            </w:r>
          </w:p>
        </w:tc>
      </w:tr>
      <w:tr w:rsidR="006473D3" w14:paraId="18632929" w14:textId="77777777" w:rsidTr="006473D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38" w:type="dxa"/>
          </w:tcPr>
          <w:p w14:paraId="22C947AD" w14:textId="77777777" w:rsidR="006473D3" w:rsidRDefault="006473D3" w:rsidP="00C27CCB">
            <w:r>
              <w:t>25 000€ à 90 000€ HT</w:t>
            </w:r>
          </w:p>
        </w:tc>
        <w:tc>
          <w:tcPr>
            <w:tcW w:w="4238" w:type="dxa"/>
          </w:tcPr>
          <w:p w14:paraId="1ECF790A" w14:textId="77777777" w:rsidR="006473D3" w:rsidRDefault="006473D3" w:rsidP="00C27CCB">
            <w:pPr>
              <w:cnfStyle w:val="000000100000" w:firstRow="0" w:lastRow="0" w:firstColumn="0" w:lastColumn="0" w:oddVBand="0" w:evenVBand="0" w:oddHBand="1" w:evenHBand="0" w:firstRowFirstColumn="0" w:firstRowLastColumn="0" w:lastRowFirstColumn="0" w:lastRowLastColumn="0"/>
            </w:pPr>
            <w:r>
              <w:t>Publicité adaptée</w:t>
            </w:r>
            <w:r w:rsidR="00096F53">
              <w:rPr>
                <w:rStyle w:val="Appelnotedebasdep"/>
              </w:rPr>
              <w:footnoteReference w:id="21"/>
            </w:r>
          </w:p>
        </w:tc>
      </w:tr>
      <w:tr w:rsidR="006473D3" w14:paraId="54B346FC" w14:textId="77777777" w:rsidTr="006473D3">
        <w:trPr>
          <w:trHeight w:val="803"/>
        </w:trPr>
        <w:tc>
          <w:tcPr>
            <w:cnfStyle w:val="001000000000" w:firstRow="0" w:lastRow="0" w:firstColumn="1" w:lastColumn="0" w:oddVBand="0" w:evenVBand="0" w:oddHBand="0" w:evenHBand="0" w:firstRowFirstColumn="0" w:firstRowLastColumn="0" w:lastRowFirstColumn="0" w:lastRowLastColumn="0"/>
            <w:tcW w:w="4238" w:type="dxa"/>
          </w:tcPr>
          <w:p w14:paraId="2F2ECA09" w14:textId="77777777" w:rsidR="006473D3" w:rsidRDefault="006473D3" w:rsidP="00C27CCB">
            <w:r>
              <w:lastRenderedPageBreak/>
              <w:t>90 000€ HT aux montants prévus par les seuils européens</w:t>
            </w:r>
            <w:r>
              <w:rPr>
                <w:rStyle w:val="Appelnotedebasdep"/>
              </w:rPr>
              <w:footnoteReference w:id="22"/>
            </w:r>
          </w:p>
        </w:tc>
        <w:tc>
          <w:tcPr>
            <w:tcW w:w="4238" w:type="dxa"/>
          </w:tcPr>
          <w:p w14:paraId="31098154" w14:textId="77777777" w:rsidR="006473D3" w:rsidRDefault="006473D3" w:rsidP="00C27CCB">
            <w:pPr>
              <w:cnfStyle w:val="000000000000" w:firstRow="0" w:lastRow="0" w:firstColumn="0" w:lastColumn="0" w:oddVBand="0" w:evenVBand="0" w:oddHBand="0" w:evenHBand="0" w:firstRowFirstColumn="0" w:firstRowLastColumn="0" w:lastRowFirstColumn="0" w:lastRowLastColumn="0"/>
            </w:pPr>
            <w:r>
              <w:t>Publicité obligatoire : BOAMP ou JAL (et si nécessaire, presse spécialisée ou JOUE)</w:t>
            </w:r>
            <w:r w:rsidR="00096F53">
              <w:rPr>
                <w:rStyle w:val="Appelnotedebasdep"/>
              </w:rPr>
              <w:footnoteReference w:id="23"/>
            </w:r>
          </w:p>
        </w:tc>
      </w:tr>
    </w:tbl>
    <w:p w14:paraId="7CB718B8" w14:textId="77777777" w:rsidR="00B06C77" w:rsidRDefault="00B06C77" w:rsidP="00C27CCB"/>
    <w:p w14:paraId="173C4F9F" w14:textId="77777777" w:rsidR="000C7704" w:rsidRPr="000C7704" w:rsidRDefault="000C7704" w:rsidP="000C7704">
      <w:pPr>
        <w:rPr>
          <w:color w:val="4BACC6" w:themeColor="accent5"/>
          <w:u w:val="single"/>
        </w:rPr>
      </w:pPr>
      <w:r w:rsidRPr="000C7704">
        <w:rPr>
          <w:color w:val="4BACC6" w:themeColor="accent5"/>
          <w:u w:val="single"/>
        </w:rPr>
        <w:t>A</w:t>
      </w:r>
      <w:r>
        <w:rPr>
          <w:color w:val="4BACC6" w:themeColor="accent5"/>
          <w:u w:val="single"/>
        </w:rPr>
        <w:t xml:space="preserve"> partir du</w:t>
      </w:r>
      <w:r w:rsidRPr="000C7704">
        <w:rPr>
          <w:color w:val="4BACC6" w:themeColor="accent5"/>
          <w:u w:val="single"/>
        </w:rPr>
        <w:t xml:space="preserve"> 1</w:t>
      </w:r>
      <w:r w:rsidRPr="000C7704">
        <w:rPr>
          <w:color w:val="4BACC6" w:themeColor="accent5"/>
          <w:u w:val="single"/>
          <w:vertAlign w:val="superscript"/>
        </w:rPr>
        <w:t>e</w:t>
      </w:r>
      <w:r w:rsidRPr="000C7704">
        <w:rPr>
          <w:color w:val="4BACC6" w:themeColor="accent5"/>
          <w:u w:val="single"/>
        </w:rPr>
        <w:t xml:space="preserve"> janvier 2020</w:t>
      </w:r>
    </w:p>
    <w:tbl>
      <w:tblPr>
        <w:tblStyle w:val="Listeclaire-Accent5"/>
        <w:tblW w:w="0" w:type="auto"/>
        <w:tblLook w:val="04A0" w:firstRow="1" w:lastRow="0" w:firstColumn="1" w:lastColumn="0" w:noHBand="0" w:noVBand="1"/>
      </w:tblPr>
      <w:tblGrid>
        <w:gridCol w:w="4238"/>
        <w:gridCol w:w="4238"/>
      </w:tblGrid>
      <w:tr w:rsidR="000C7704" w14:paraId="184E90A1" w14:textId="77777777" w:rsidTr="00C7651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8476" w:type="dxa"/>
            <w:gridSpan w:val="2"/>
          </w:tcPr>
          <w:p w14:paraId="7FC73524" w14:textId="77777777" w:rsidR="000C7704" w:rsidRDefault="000C7704" w:rsidP="00C76512">
            <w:pPr>
              <w:jc w:val="center"/>
            </w:pPr>
            <w:r>
              <w:t>Marchés publics de l’Etat ses établissements publics autres qu’à caractère industriel et commercial, les collectivités territoriales, leurs établissements publics et leurs groupements</w:t>
            </w:r>
          </w:p>
        </w:tc>
      </w:tr>
      <w:tr w:rsidR="000C7704" w14:paraId="525D0430" w14:textId="77777777" w:rsidTr="00C765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38" w:type="dxa"/>
          </w:tcPr>
          <w:p w14:paraId="190F2F5B" w14:textId="77777777" w:rsidR="000C7704" w:rsidRDefault="000C7704" w:rsidP="00C76512">
            <w:r>
              <w:t>Seuils</w:t>
            </w:r>
          </w:p>
        </w:tc>
        <w:tc>
          <w:tcPr>
            <w:tcW w:w="4238" w:type="dxa"/>
          </w:tcPr>
          <w:p w14:paraId="769878BE" w14:textId="77777777" w:rsidR="000C7704" w:rsidRDefault="000C7704" w:rsidP="00C76512">
            <w:pPr>
              <w:cnfStyle w:val="000000100000" w:firstRow="0" w:lastRow="0" w:firstColumn="0" w:lastColumn="0" w:oddVBand="0" w:evenVBand="0" w:oddHBand="1" w:evenHBand="0" w:firstRowFirstColumn="0" w:firstRowLastColumn="0" w:lastRowFirstColumn="0" w:lastRowLastColumn="0"/>
            </w:pPr>
            <w:r>
              <w:t>Obligation de publicité</w:t>
            </w:r>
          </w:p>
        </w:tc>
      </w:tr>
      <w:tr w:rsidR="000C7704" w14:paraId="42A9C858" w14:textId="77777777" w:rsidTr="00C76512">
        <w:trPr>
          <w:trHeight w:val="268"/>
        </w:trPr>
        <w:tc>
          <w:tcPr>
            <w:cnfStyle w:val="001000000000" w:firstRow="0" w:lastRow="0" w:firstColumn="1" w:lastColumn="0" w:oddVBand="0" w:evenVBand="0" w:oddHBand="0" w:evenHBand="0" w:firstRowFirstColumn="0" w:firstRowLastColumn="0" w:lastRowFirstColumn="0" w:lastRowLastColumn="0"/>
            <w:tcW w:w="4238" w:type="dxa"/>
          </w:tcPr>
          <w:p w14:paraId="55768652" w14:textId="77777777" w:rsidR="000C7704" w:rsidRDefault="000C7704" w:rsidP="00C76512">
            <w:r>
              <w:t>0€ à 40 000€ HT</w:t>
            </w:r>
          </w:p>
        </w:tc>
        <w:tc>
          <w:tcPr>
            <w:tcW w:w="4238" w:type="dxa"/>
          </w:tcPr>
          <w:p w14:paraId="3F0BCC4F" w14:textId="77777777" w:rsidR="000C7704" w:rsidRDefault="000C7704" w:rsidP="00C76512">
            <w:pPr>
              <w:cnfStyle w:val="000000000000" w:firstRow="0" w:lastRow="0" w:firstColumn="0" w:lastColumn="0" w:oddVBand="0" w:evenVBand="0" w:oddHBand="0" w:evenHBand="0" w:firstRowFirstColumn="0" w:firstRowLastColumn="0" w:lastRowFirstColumn="0" w:lastRowLastColumn="0"/>
            </w:pPr>
            <w:r>
              <w:t>Publicité facultative</w:t>
            </w:r>
            <w:r>
              <w:rPr>
                <w:rStyle w:val="Appelnotedebasdep"/>
              </w:rPr>
              <w:footnoteReference w:id="24"/>
            </w:r>
          </w:p>
        </w:tc>
      </w:tr>
      <w:tr w:rsidR="000C7704" w14:paraId="20567EF1" w14:textId="77777777" w:rsidTr="00C7651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38" w:type="dxa"/>
          </w:tcPr>
          <w:p w14:paraId="0677A30D" w14:textId="77777777" w:rsidR="000C7704" w:rsidRDefault="000C7704" w:rsidP="00C76512">
            <w:r>
              <w:t>40 000€ à 90 000€ HT</w:t>
            </w:r>
          </w:p>
        </w:tc>
        <w:tc>
          <w:tcPr>
            <w:tcW w:w="4238" w:type="dxa"/>
          </w:tcPr>
          <w:p w14:paraId="36B6DD59" w14:textId="77777777" w:rsidR="000C7704" w:rsidRDefault="000C7704" w:rsidP="00C76512">
            <w:pPr>
              <w:cnfStyle w:val="000000100000" w:firstRow="0" w:lastRow="0" w:firstColumn="0" w:lastColumn="0" w:oddVBand="0" w:evenVBand="0" w:oddHBand="1" w:evenHBand="0" w:firstRowFirstColumn="0" w:firstRowLastColumn="0" w:lastRowFirstColumn="0" w:lastRowLastColumn="0"/>
            </w:pPr>
            <w:r>
              <w:t>Publicité adaptée</w:t>
            </w:r>
            <w:r>
              <w:rPr>
                <w:rStyle w:val="Appelnotedebasdep"/>
              </w:rPr>
              <w:footnoteReference w:id="25"/>
            </w:r>
          </w:p>
        </w:tc>
      </w:tr>
      <w:tr w:rsidR="000C7704" w14:paraId="73C01912" w14:textId="77777777" w:rsidTr="00C76512">
        <w:trPr>
          <w:trHeight w:val="803"/>
        </w:trPr>
        <w:tc>
          <w:tcPr>
            <w:cnfStyle w:val="001000000000" w:firstRow="0" w:lastRow="0" w:firstColumn="1" w:lastColumn="0" w:oddVBand="0" w:evenVBand="0" w:oddHBand="0" w:evenHBand="0" w:firstRowFirstColumn="0" w:firstRowLastColumn="0" w:lastRowFirstColumn="0" w:lastRowLastColumn="0"/>
            <w:tcW w:w="4238" w:type="dxa"/>
          </w:tcPr>
          <w:p w14:paraId="3150B4B3" w14:textId="77777777" w:rsidR="000C7704" w:rsidRDefault="000C7704" w:rsidP="00C76512">
            <w:r>
              <w:t>90 000€ HT aux montants prévus par les seuils européens</w:t>
            </w:r>
            <w:r>
              <w:rPr>
                <w:rStyle w:val="Appelnotedebasdep"/>
              </w:rPr>
              <w:footnoteReference w:id="26"/>
            </w:r>
          </w:p>
        </w:tc>
        <w:tc>
          <w:tcPr>
            <w:tcW w:w="4238" w:type="dxa"/>
          </w:tcPr>
          <w:p w14:paraId="00310602" w14:textId="77777777" w:rsidR="000C7704" w:rsidRDefault="000C7704" w:rsidP="00C76512">
            <w:pPr>
              <w:cnfStyle w:val="000000000000" w:firstRow="0" w:lastRow="0" w:firstColumn="0" w:lastColumn="0" w:oddVBand="0" w:evenVBand="0" w:oddHBand="0" w:evenHBand="0" w:firstRowFirstColumn="0" w:firstRowLastColumn="0" w:lastRowFirstColumn="0" w:lastRowLastColumn="0"/>
            </w:pPr>
            <w:r>
              <w:t>Publicité obligatoire : BOAMP ou JAL (et si nécessaire, presse spécialisée ou JOUE)</w:t>
            </w:r>
            <w:r>
              <w:rPr>
                <w:rStyle w:val="Appelnotedebasdep"/>
              </w:rPr>
              <w:footnoteReference w:id="27"/>
            </w:r>
          </w:p>
        </w:tc>
      </w:tr>
    </w:tbl>
    <w:p w14:paraId="2B8EB709" w14:textId="77777777" w:rsidR="000C7704" w:rsidRDefault="000C7704" w:rsidP="00C27CCB"/>
    <w:p w14:paraId="1D10A0EC" w14:textId="77777777" w:rsidR="000C7704" w:rsidRPr="00C27CCB" w:rsidRDefault="000C7704" w:rsidP="00C27CCB"/>
    <w:p w14:paraId="21FA509B" w14:textId="77777777" w:rsidR="00C27CCB" w:rsidRDefault="00C3161C" w:rsidP="000C5AB0">
      <w:r w:rsidRPr="000A73A1">
        <w:rPr>
          <w:b/>
          <w:color w:val="31849B" w:themeColor="accent5" w:themeShade="BF"/>
          <w:u w:val="single"/>
        </w:rPr>
        <w:t>/</w:t>
      </w:r>
      <w:r w:rsidR="00787378" w:rsidRPr="000A73A1">
        <w:rPr>
          <w:b/>
          <w:color w:val="31849B" w:themeColor="accent5" w:themeShade="BF"/>
          <w:u w:val="single"/>
        </w:rPr>
        <w:t> ! \</w:t>
      </w:r>
      <w:r>
        <w:rPr>
          <w:b/>
          <w:color w:val="31849B" w:themeColor="accent5" w:themeShade="BF"/>
        </w:rPr>
        <w:t xml:space="preserve"> : </w:t>
      </w:r>
      <w:r w:rsidRPr="00222A95">
        <w:rPr>
          <w:i/>
        </w:rPr>
        <w:t>Pour les marchés publics de services sociaux et autres services spécifiques, et quelle que soit la valeur estimée du besoin, une pr</w:t>
      </w:r>
      <w:r w:rsidR="00727B91">
        <w:rPr>
          <w:i/>
        </w:rPr>
        <w:t>océdure adaptée peut être passée</w:t>
      </w:r>
      <w:r w:rsidRPr="00222A95">
        <w:rPr>
          <w:i/>
        </w:rPr>
        <w:t>. La liste</w:t>
      </w:r>
      <w:r w:rsidR="00222A95" w:rsidRPr="00222A95">
        <w:rPr>
          <w:i/>
        </w:rPr>
        <w:t xml:space="preserve"> de ces services est publiée au Journal officiel de la République française</w:t>
      </w:r>
      <w:r w:rsidR="00222A95">
        <w:rPr>
          <w:rStyle w:val="Appelnotedebasdep"/>
          <w:i/>
        </w:rPr>
        <w:footnoteReference w:id="28"/>
      </w:r>
      <w:r w:rsidR="00222A95" w:rsidRPr="00222A95">
        <w:rPr>
          <w:i/>
        </w:rPr>
        <w:t>.</w:t>
      </w:r>
      <w:r w:rsidR="00222A95" w:rsidRPr="00222A95">
        <w:t xml:space="preserve"> </w:t>
      </w:r>
    </w:p>
    <w:p w14:paraId="1AF3201B" w14:textId="77777777" w:rsidR="00250C43" w:rsidRDefault="00250C43" w:rsidP="000C5AB0"/>
    <w:p w14:paraId="7C235E75" w14:textId="1BE44036" w:rsidR="00250C43" w:rsidRDefault="00250C43" w:rsidP="000C5AB0">
      <w:pPr>
        <w:rPr>
          <w:i/>
        </w:rPr>
      </w:pPr>
      <w:r w:rsidRPr="006A1348">
        <w:rPr>
          <w:b/>
          <w:i/>
          <w:color w:val="31849B" w:themeColor="accent5" w:themeShade="BF"/>
          <w:u w:val="single"/>
        </w:rPr>
        <w:t>/</w:t>
      </w:r>
      <w:r w:rsidR="00787378" w:rsidRPr="006A1348">
        <w:rPr>
          <w:b/>
          <w:i/>
          <w:color w:val="31849B" w:themeColor="accent5" w:themeShade="BF"/>
          <w:u w:val="single"/>
        </w:rPr>
        <w:t> ! \</w:t>
      </w:r>
      <w:r w:rsidRPr="006A1348">
        <w:rPr>
          <w:b/>
          <w:i/>
          <w:color w:val="31849B" w:themeColor="accent5" w:themeShade="BF"/>
        </w:rPr>
        <w:t xml:space="preserve"> : </w:t>
      </w:r>
      <w:r w:rsidRPr="006A1348">
        <w:rPr>
          <w:i/>
        </w:rPr>
        <w:t>Pour les marchés d'une valeur inférieure à 25 00</w:t>
      </w:r>
      <w:r w:rsidR="004E7BF8">
        <w:rPr>
          <w:i/>
        </w:rPr>
        <w:t>0 € HT</w:t>
      </w:r>
      <w:r w:rsidR="003E0F1B">
        <w:rPr>
          <w:i/>
        </w:rPr>
        <w:t xml:space="preserve"> (40 000€ HT à partir du 1</w:t>
      </w:r>
      <w:r w:rsidR="003E0F1B" w:rsidRPr="003E0F1B">
        <w:rPr>
          <w:i/>
          <w:vertAlign w:val="superscript"/>
        </w:rPr>
        <w:t>e</w:t>
      </w:r>
      <w:r w:rsidR="003E0F1B">
        <w:rPr>
          <w:i/>
        </w:rPr>
        <w:t xml:space="preserve"> janvier 2020</w:t>
      </w:r>
      <w:proofErr w:type="gramStart"/>
      <w:r w:rsidR="003E0F1B">
        <w:rPr>
          <w:i/>
        </w:rPr>
        <w:t xml:space="preserve">) </w:t>
      </w:r>
      <w:r w:rsidR="004E7BF8">
        <w:rPr>
          <w:i/>
        </w:rPr>
        <w:t>,</w:t>
      </w:r>
      <w:proofErr w:type="gramEnd"/>
      <w:r w:rsidR="006C47C6">
        <w:rPr>
          <w:i/>
        </w:rPr>
        <w:t xml:space="preserve"> un</w:t>
      </w:r>
      <w:r w:rsidR="00F76334">
        <w:rPr>
          <w:i/>
        </w:rPr>
        <w:t>e</w:t>
      </w:r>
      <w:r w:rsidR="006C47C6">
        <w:rPr>
          <w:i/>
        </w:rPr>
        <w:t xml:space="preserve"> note DAJ revient sur les fondamentaux à respecter dans ce cadre</w:t>
      </w:r>
      <w:r w:rsidR="00EB3AF8">
        <w:rPr>
          <w:rStyle w:val="Appelnotedebasdep"/>
          <w:i/>
        </w:rPr>
        <w:footnoteReference w:id="29"/>
      </w:r>
      <w:r w:rsidR="006C47C6">
        <w:rPr>
          <w:i/>
        </w:rPr>
        <w:t>.  L</w:t>
      </w:r>
      <w:r w:rsidR="004E7BF8">
        <w:rPr>
          <w:i/>
        </w:rPr>
        <w:t xml:space="preserve">'acheteur a pour </w:t>
      </w:r>
      <w:r w:rsidRPr="006A1348">
        <w:rPr>
          <w:i/>
        </w:rPr>
        <w:t>obligation de choisir une offre pertinente par rap</w:t>
      </w:r>
      <w:r w:rsidR="00EB3AF8">
        <w:rPr>
          <w:i/>
        </w:rPr>
        <w:t xml:space="preserve">port à l’objet de son marché, </w:t>
      </w:r>
      <w:r w:rsidR="00F5626F">
        <w:rPr>
          <w:i/>
        </w:rPr>
        <w:t>de </w:t>
      </w:r>
      <w:r w:rsidRPr="006A1348">
        <w:rPr>
          <w:i/>
        </w:rPr>
        <w:t>ne pas contracter systématiquement avec un même fournisseur lorsqu'il y a plusieurs offres susceptibles de répondre à son besoin</w:t>
      </w:r>
      <w:r w:rsidR="00EB3AF8">
        <w:rPr>
          <w:i/>
        </w:rPr>
        <w:t xml:space="preserve"> et enfin </w:t>
      </w:r>
      <w:r w:rsidR="00F5626F">
        <w:rPr>
          <w:i/>
        </w:rPr>
        <w:t xml:space="preserve">de </w:t>
      </w:r>
      <w:r w:rsidR="00EB3AF8">
        <w:rPr>
          <w:i/>
        </w:rPr>
        <w:t>veiller à choisir une offre financièrement raisonnable et cohérente selon la nature de la prestation</w:t>
      </w:r>
      <w:r w:rsidRPr="006A1348">
        <w:rPr>
          <w:i/>
        </w:rPr>
        <w:t xml:space="preserve">. Le service instructeur doit ainsi s’assurer que d’une part ceci a bien été effectué par le bénéficiaire et que par ailleurs, le montant estimé du marché a bien été calculé, attention au risque de « saucissonnage » (voir partie 4, point de vigilance). </w:t>
      </w:r>
    </w:p>
    <w:p w14:paraId="73EBA69C" w14:textId="77777777" w:rsidR="003B4F3B" w:rsidRDefault="003B4F3B" w:rsidP="000C5AB0"/>
    <w:p w14:paraId="3263B578" w14:textId="77777777" w:rsidR="003B4F3B" w:rsidRPr="00C14133" w:rsidRDefault="003B4F3B" w:rsidP="000C5AB0">
      <w:pPr>
        <w:rPr>
          <w:u w:val="single"/>
        </w:rPr>
      </w:pPr>
      <w:r w:rsidRPr="00C14133">
        <w:rPr>
          <w:u w:val="single"/>
        </w:rPr>
        <w:t>Délais de réception des candidatures et des offres</w:t>
      </w:r>
      <w:r w:rsidR="000630A6" w:rsidRPr="00C14133">
        <w:rPr>
          <w:rStyle w:val="Appelnotedebasdep"/>
          <w:u w:val="single"/>
        </w:rPr>
        <w:footnoteReference w:id="30"/>
      </w:r>
    </w:p>
    <w:p w14:paraId="36358DBE" w14:textId="77777777" w:rsidR="003B4F3B" w:rsidRDefault="000630A6" w:rsidP="003B4F3B">
      <w:r>
        <w:t>Il revient à l</w:t>
      </w:r>
      <w:r w:rsidR="003B4F3B">
        <w:t xml:space="preserve">’acheteur </w:t>
      </w:r>
      <w:r>
        <w:t>de déterminer ces délais dans</w:t>
      </w:r>
      <w:r w:rsidR="000A73A1">
        <w:t xml:space="preserve"> le</w:t>
      </w:r>
      <w:r>
        <w:t xml:space="preserve"> règlement de consultation afin</w:t>
      </w:r>
      <w:r w:rsidR="003B4F3B">
        <w:t xml:space="preserve"> de garantir l’égalité entre les candidats et d</w:t>
      </w:r>
      <w:r>
        <w:t xml:space="preserve">’être assuré de satisfaire son </w:t>
      </w:r>
      <w:r w:rsidR="003B4F3B">
        <w:t xml:space="preserve">besoin. </w:t>
      </w:r>
    </w:p>
    <w:p w14:paraId="3F8B8100" w14:textId="77777777" w:rsidR="003B4F3B" w:rsidRDefault="000630A6" w:rsidP="003B4F3B">
      <w:r>
        <w:t xml:space="preserve">En effet, </w:t>
      </w:r>
      <w:r w:rsidR="00C76512">
        <w:t>même pour un marché public</w:t>
      </w:r>
      <w:r>
        <w:t xml:space="preserve"> </w:t>
      </w:r>
      <w:r w:rsidR="00C76512">
        <w:t>peu complexe, les candidats doivent pouvoir bénéficier d’une information complète</w:t>
      </w:r>
      <w:r w:rsidR="003B4F3B">
        <w:t xml:space="preserve">.  </w:t>
      </w:r>
      <w:r w:rsidR="00C76512">
        <w:t>Le règlement</w:t>
      </w:r>
      <w:r>
        <w:t xml:space="preserve"> de </w:t>
      </w:r>
      <w:r w:rsidR="00C76512">
        <w:t xml:space="preserve">consultation doit prévoir les grandes étapes de la procédure, et notamment </w:t>
      </w:r>
      <w:r w:rsidR="00787378">
        <w:t>le principe et les conditions</w:t>
      </w:r>
      <w:r>
        <w:t xml:space="preserve"> de la négociation </w:t>
      </w:r>
      <w:r w:rsidR="003B4F3B">
        <w:t>ainsi que les critères de sé</w:t>
      </w:r>
      <w:r>
        <w:t xml:space="preserve">lection des offres. </w:t>
      </w:r>
    </w:p>
    <w:p w14:paraId="65E0A1B5" w14:textId="77777777" w:rsidR="000C5AB0" w:rsidRDefault="000C5AB0" w:rsidP="000C5AB0"/>
    <w:p w14:paraId="75A88C3F" w14:textId="77777777" w:rsidR="001B698F" w:rsidRPr="00C14133" w:rsidRDefault="00CF5394" w:rsidP="000C5AB0">
      <w:pPr>
        <w:rPr>
          <w:b/>
        </w:rPr>
      </w:pPr>
      <w:r w:rsidRPr="00C14133">
        <w:rPr>
          <w:b/>
        </w:rPr>
        <w:t xml:space="preserve">4 – </w:t>
      </w:r>
      <w:r w:rsidR="00E355AB">
        <w:rPr>
          <w:b/>
        </w:rPr>
        <w:t>Vérification de la s</w:t>
      </w:r>
      <w:r w:rsidRPr="00C14133">
        <w:rPr>
          <w:b/>
        </w:rPr>
        <w:t>élection des soumissionnaires et évaluation des offres</w:t>
      </w:r>
      <w:r w:rsidR="00E355AB">
        <w:rPr>
          <w:b/>
        </w:rPr>
        <w:t xml:space="preserve"> (A</w:t>
      </w:r>
      <w:r w:rsidR="003D0BF3">
        <w:rPr>
          <w:b/>
        </w:rPr>
        <w:t>u plus tard à</w:t>
      </w:r>
      <w:r w:rsidR="00E355AB">
        <w:rPr>
          <w:b/>
        </w:rPr>
        <w:t xml:space="preserve"> la demande de paiement)</w:t>
      </w:r>
      <w:r w:rsidR="00F53F8C">
        <w:rPr>
          <w:b/>
        </w:rPr>
        <w:t xml:space="preserve">. </w:t>
      </w:r>
      <w:r w:rsidR="00F53F8C" w:rsidRPr="00F53F8C">
        <w:rPr>
          <w:b/>
        </w:rPr>
        <w:t>La procédure de sélection des offres a-t-elle été correctement effectuée ?</w:t>
      </w:r>
    </w:p>
    <w:p w14:paraId="5E193184" w14:textId="77777777" w:rsidR="001B698F" w:rsidRDefault="001B698F" w:rsidP="000C5AB0"/>
    <w:p w14:paraId="078D6CB3" w14:textId="77777777" w:rsidR="000A70CC" w:rsidRDefault="002732A4" w:rsidP="002732A4">
      <w:r>
        <w:t xml:space="preserve">Les critères de sélection sont à distinguer des critères d’attribution. En effet, le processus de passation de marché comporte deux parties, la première concernant la sélection des soumissionnaires et la deuxième concernant l’évaluation des offres. </w:t>
      </w:r>
      <w:r w:rsidR="005C316D">
        <w:t>L’article 68 du décret, permet à l’</w:t>
      </w:r>
      <w:r w:rsidR="000A70CC">
        <w:t xml:space="preserve">acheteur, </w:t>
      </w:r>
      <w:r w:rsidR="005C316D">
        <w:t>en appel d’offres ouvert,</w:t>
      </w:r>
      <w:r w:rsidR="000A70CC">
        <w:t xml:space="preserve"> d’examiner, </w:t>
      </w:r>
      <w:r w:rsidR="000A70CC">
        <w:lastRenderedPageBreak/>
        <w:t xml:space="preserve">d’analyser et de classer les offres avant les candidatures. Dans ce cas, l’acheteur doit s’assurer avant la notification du marché que le titulaire pressenti n’aurait pas dû être exclu ou qu’il remplit bien les critères de sélection établis par l’acheteur. </w:t>
      </w:r>
      <w:r w:rsidR="005C316D">
        <w:t xml:space="preserve"> </w:t>
      </w:r>
    </w:p>
    <w:p w14:paraId="578FB70A" w14:textId="77777777" w:rsidR="001752D5" w:rsidRDefault="00CF5394" w:rsidP="002732A4">
      <w:r>
        <w:t>L’</w:t>
      </w:r>
      <w:r w:rsidR="001752D5">
        <w:t>article 62 du décret</w:t>
      </w:r>
      <w:r>
        <w:t xml:space="preserve"> du 25 mars 2016</w:t>
      </w:r>
      <w:r w:rsidR="001752D5">
        <w:t>, énumère une liste de critèr</w:t>
      </w:r>
      <w:r w:rsidR="008462E2">
        <w:t>e de choix pouvant être utilisé</w:t>
      </w:r>
      <w:r w:rsidR="001752D5">
        <w:t>s pour départager les offres, il convient de s’y reporter pour s’as</w:t>
      </w:r>
      <w:r>
        <w:t xml:space="preserve">surer que les critères de sélection </w:t>
      </w:r>
      <w:r w:rsidR="001752D5">
        <w:t xml:space="preserve">permettant de départager les candidats ont bien été respectés. D’autres critères peuvent être utilisés à partir du moment où ils sont liés à l’objet du marché et non </w:t>
      </w:r>
      <w:r w:rsidR="00D93CFB">
        <w:t>discriminatoire</w:t>
      </w:r>
      <w:r w:rsidR="0026267C">
        <w:t>s</w:t>
      </w:r>
      <w:r w:rsidR="001752D5">
        <w:t>.</w:t>
      </w:r>
      <w:r w:rsidR="00D93CFB">
        <w:t xml:space="preserve"> Un critère non annoncé dans l’avis de publicité ne peut plus être utilisé par le pouvoir adjudicateur pour départager les offres. </w:t>
      </w:r>
      <w:r w:rsidR="001752D5">
        <w:t xml:space="preserve"> </w:t>
      </w:r>
    </w:p>
    <w:p w14:paraId="3F6DD453" w14:textId="77777777" w:rsidR="002732A4" w:rsidRDefault="00C67F65" w:rsidP="002732A4">
      <w:r>
        <w:t>Les critères de sélection doivent permettre d’évaluer la capacité du titulaire à répondre au besoin du pouvoir adjudicateur. C</w:t>
      </w:r>
      <w:r w:rsidR="008462E2">
        <w:t>es critères doivent être définis</w:t>
      </w:r>
      <w:r>
        <w:t xml:space="preserve"> à l’avance et publié</w:t>
      </w:r>
      <w:r w:rsidR="001752D5">
        <w:t>s</w:t>
      </w:r>
      <w:r>
        <w:t xml:space="preserve"> dans l’avis de marché. Ces critères doivent ainsi être transparents et liés au marché</w:t>
      </w:r>
      <w:r w:rsidR="000A70CC">
        <w:rPr>
          <w:rStyle w:val="Appelnotedebasdep"/>
        </w:rPr>
        <w:footnoteReference w:id="31"/>
      </w:r>
      <w:r>
        <w:t xml:space="preserve">. </w:t>
      </w:r>
    </w:p>
    <w:p w14:paraId="737737E2" w14:textId="77777777" w:rsidR="00D93CFB" w:rsidRDefault="00D93CFB" w:rsidP="002732A4"/>
    <w:p w14:paraId="3FA7E119" w14:textId="77777777" w:rsidR="00D93CFB" w:rsidRPr="009F65F6" w:rsidRDefault="00D93CFB" w:rsidP="002732A4">
      <w:pPr>
        <w:rPr>
          <w:i/>
        </w:rPr>
      </w:pPr>
      <w:r w:rsidRPr="009F65F6">
        <w:rPr>
          <w:b/>
          <w:i/>
          <w:u w:val="single"/>
        </w:rPr>
        <w:t>/</w:t>
      </w:r>
      <w:r w:rsidR="00FE4753" w:rsidRPr="009F65F6">
        <w:rPr>
          <w:b/>
          <w:i/>
          <w:u w:val="single"/>
        </w:rPr>
        <w:t> ! \</w:t>
      </w:r>
      <w:r w:rsidRPr="009F65F6">
        <w:rPr>
          <w:b/>
          <w:i/>
          <w:u w:val="single"/>
        </w:rPr>
        <w:t> :</w:t>
      </w:r>
      <w:r w:rsidRPr="009F65F6">
        <w:rPr>
          <w:i/>
        </w:rPr>
        <w:t xml:space="preserve"> </w:t>
      </w:r>
      <w:r w:rsidR="00FA0F89" w:rsidRPr="009F65F6">
        <w:rPr>
          <w:i/>
        </w:rPr>
        <w:t>La règle du choix du « mieux-disant » est réaffirmé dans la nouvelle ordonnance. Les modalités de classement des critères à utiliser doivent être la hiérarchisation ou la pondération. La hiérarchisation classe les critères par ordre décroissant d’importance et</w:t>
      </w:r>
      <w:r w:rsidR="008462E2">
        <w:rPr>
          <w:i/>
        </w:rPr>
        <w:t xml:space="preserve"> ils</w:t>
      </w:r>
      <w:r w:rsidR="00FA0F89" w:rsidRPr="009F65F6">
        <w:rPr>
          <w:i/>
        </w:rPr>
        <w:t xml:space="preserve"> sont analysés indépendamment les uns des autres. La pondération quant à elle a</w:t>
      </w:r>
      <w:r w:rsidR="006513BA" w:rsidRPr="009F65F6">
        <w:rPr>
          <w:i/>
        </w:rPr>
        <w:t xml:space="preserve">ssigne à chacun des critères un coefficient chiffré. L’offre la plus économiquement avantageuse est alors évaluée globalement. Dans le cas d’une procédure formalisée, la pondération est le principe à utiliser (article 62 IV du décret du 25 mars 2016). </w:t>
      </w:r>
      <w:r w:rsidR="00815A20" w:rsidRPr="009F65F6">
        <w:rPr>
          <w:i/>
        </w:rPr>
        <w:t>Les acheteurs publics ont l’obligation d’informer les candidats quant à « la pondération ou la hiérarchisation des sous-critères dès lors que, eu égard à leur nature et à l'importance de cette pondération ou hiérarchisation, ils sont susceptibles d'exercer une influence sur la présentation des offres par les candidats et doivent en conséquence être eux-mêmes regardés comme des critères de sélection</w:t>
      </w:r>
      <w:r w:rsidR="003D0BF3" w:rsidRPr="009F65F6">
        <w:rPr>
          <w:i/>
        </w:rPr>
        <w:t>.</w:t>
      </w:r>
    </w:p>
    <w:p w14:paraId="267349A2" w14:textId="77777777" w:rsidR="004241DC" w:rsidRDefault="004241DC" w:rsidP="002732A4"/>
    <w:p w14:paraId="2FDCA59E" w14:textId="77777777" w:rsidR="004241DC" w:rsidRPr="001B71BE" w:rsidRDefault="004241DC" w:rsidP="00F53F8C">
      <w:pPr>
        <w:rPr>
          <w:b/>
        </w:rPr>
      </w:pPr>
      <w:r w:rsidRPr="001B71BE">
        <w:rPr>
          <w:b/>
        </w:rPr>
        <w:t xml:space="preserve">5 – </w:t>
      </w:r>
      <w:r w:rsidR="00E355AB">
        <w:rPr>
          <w:b/>
        </w:rPr>
        <w:t>Vérification de l’a</w:t>
      </w:r>
      <w:r w:rsidRPr="001B71BE">
        <w:rPr>
          <w:b/>
        </w:rPr>
        <w:t xml:space="preserve">ttribution </w:t>
      </w:r>
      <w:r w:rsidR="00CF7048" w:rsidRPr="001B71BE">
        <w:rPr>
          <w:b/>
        </w:rPr>
        <w:t>du marché</w:t>
      </w:r>
      <w:r w:rsidR="00E355AB">
        <w:rPr>
          <w:b/>
        </w:rPr>
        <w:t xml:space="preserve"> (A</w:t>
      </w:r>
      <w:r w:rsidR="003D0BF3">
        <w:rPr>
          <w:b/>
        </w:rPr>
        <w:t>u plus tard à</w:t>
      </w:r>
      <w:r w:rsidR="00E355AB">
        <w:rPr>
          <w:b/>
        </w:rPr>
        <w:t xml:space="preserve"> la demande de paiement)</w:t>
      </w:r>
      <w:r w:rsidR="00F53F8C">
        <w:rPr>
          <w:b/>
        </w:rPr>
        <w:t xml:space="preserve">. </w:t>
      </w:r>
      <w:r w:rsidR="00D46EF3">
        <w:rPr>
          <w:b/>
        </w:rPr>
        <w:t xml:space="preserve">Le délai de présentation des candidatures et des offres a-t-il été respecté ? </w:t>
      </w:r>
    </w:p>
    <w:p w14:paraId="3ECA691A" w14:textId="77777777" w:rsidR="00CF7048" w:rsidRDefault="00CF7048" w:rsidP="00CF7048"/>
    <w:p w14:paraId="762EE7F4" w14:textId="77777777" w:rsidR="00CF7048" w:rsidRDefault="00CF7048" w:rsidP="00CF7048">
      <w:r>
        <w:t>Lorsque le pouvoir adjudicateur a choisi le soumissionnaire auquel le marché va être attribué, il doit en informer tous les soumissionnaires. Un délai de suspension</w:t>
      </w:r>
      <w:r w:rsidR="003D0BF3">
        <w:t xml:space="preserve"> (stand </w:t>
      </w:r>
      <w:proofErr w:type="spellStart"/>
      <w:r w:rsidR="003D0BF3">
        <w:t>still</w:t>
      </w:r>
      <w:proofErr w:type="spellEnd"/>
      <w:r w:rsidR="009F65F6">
        <w:t xml:space="preserve">, </w:t>
      </w:r>
      <w:r w:rsidR="009F65F6" w:rsidRPr="009F65F6">
        <w:t>art 101 du décret 2016-360</w:t>
      </w:r>
      <w:r w:rsidR="003D0BF3">
        <w:t>)</w:t>
      </w:r>
      <w:r>
        <w:t xml:space="preserve"> s’applique, c’est-à-dire qu’une période est prévue pour les cas de recours contre les décisions d’attributions de marché prises par le pouvoir adjudicateur. </w:t>
      </w:r>
    </w:p>
    <w:p w14:paraId="00856FDC" w14:textId="77777777" w:rsidR="001B71BE" w:rsidRDefault="001B71BE" w:rsidP="00CF7048">
      <w:r>
        <w:t xml:space="preserve">Dès que le marché a été attribué, le pouvoir adjudicateur doit conserver et archiver tous les documents relatifs à la procédure de mise en concurrence et à la phase d’évaluation des offres, y compris les offres reçues. L’autorité de gestion doit pouvoir avoir accès à ces documents pour vérification lors de l’instruction ou du contrôle de service fait. </w:t>
      </w:r>
    </w:p>
    <w:p w14:paraId="1A20F3E9" w14:textId="77777777" w:rsidR="004A72DB" w:rsidRDefault="004A72DB" w:rsidP="00CF7048">
      <w:r>
        <w:t xml:space="preserve">Le décret impose au pouvoir adjudicateur de conserver les pièces justificatives constitutives des marchés publics pendant une durée de cinq ans pour les marchés publics de fournitures ou de services et pour une durée de dix </w:t>
      </w:r>
      <w:r w:rsidR="003A72BE">
        <w:t>ans pour les marchés t</w:t>
      </w:r>
      <w:r w:rsidR="000A73A1">
        <w:t>ravaux à partir</w:t>
      </w:r>
      <w:r w:rsidR="003A72BE">
        <w:t xml:space="preserve"> de la date de notification du marché public. </w:t>
      </w:r>
    </w:p>
    <w:p w14:paraId="7D39F2D4" w14:textId="77777777" w:rsidR="00F92F28" w:rsidRDefault="00F92F28" w:rsidP="00CF7048"/>
    <w:p w14:paraId="3325BBC5" w14:textId="77777777" w:rsidR="00F92F28" w:rsidRPr="00F92F28" w:rsidRDefault="00F92F28" w:rsidP="00F92F28">
      <w:pPr>
        <w:rPr>
          <w:i/>
        </w:rPr>
      </w:pPr>
      <w:r w:rsidRPr="00F92F28">
        <w:rPr>
          <w:b/>
          <w:i/>
          <w:u w:val="single"/>
        </w:rPr>
        <w:t>/</w:t>
      </w:r>
      <w:r w:rsidR="00787378" w:rsidRPr="00F92F28">
        <w:rPr>
          <w:b/>
          <w:i/>
          <w:u w:val="single"/>
        </w:rPr>
        <w:t> ! \</w:t>
      </w:r>
      <w:r w:rsidRPr="00F92F28">
        <w:rPr>
          <w:b/>
          <w:i/>
          <w:u w:val="single"/>
        </w:rPr>
        <w:t> :</w:t>
      </w:r>
      <w:r w:rsidRPr="00F92F28">
        <w:rPr>
          <w:i/>
        </w:rPr>
        <w:t xml:space="preserve"> Toutes les étapes de vie du dossier doivent être conservées dans un dossier unique dans le cadre des FESI.</w:t>
      </w:r>
    </w:p>
    <w:p w14:paraId="49A14377" w14:textId="77777777" w:rsidR="00F92F28" w:rsidRPr="00F92F28" w:rsidRDefault="00F92F28" w:rsidP="00F92F28">
      <w:pPr>
        <w:rPr>
          <w:i/>
        </w:rPr>
      </w:pPr>
      <w:r w:rsidRPr="00F92F28">
        <w:rPr>
          <w:i/>
        </w:rPr>
        <w:t>Dans ce cadre, les délais de disponibilité des pièces en application de l’article 140 du règlement général (sans préjudice des règles régissant les aides d’Etat et la commande publique) sont les suivantes :</w:t>
      </w:r>
    </w:p>
    <w:p w14:paraId="4AA61056" w14:textId="77777777" w:rsidR="00F92F28" w:rsidRPr="00F92F28" w:rsidRDefault="00F92F28" w:rsidP="00F92F28">
      <w:pPr>
        <w:rPr>
          <w:i/>
        </w:rPr>
      </w:pPr>
      <w:r w:rsidRPr="00F92F28">
        <w:rPr>
          <w:i/>
        </w:rPr>
        <w:t>- Pour les opérations inférieures à 1 000 000 € en dépenses éligibles : l’ensemble des pièces justificatives concernant les dépenses supportées par les bénéficiaires doivent être conservées pendant une période de trois ans à compter du 31 décembre suivant la présentation des comptes dans lesquels figurent ces dépenses.</w:t>
      </w:r>
    </w:p>
    <w:p w14:paraId="5FCD807E" w14:textId="77777777" w:rsidR="00F92F28" w:rsidRPr="00F92F28" w:rsidRDefault="00F92F28" w:rsidP="00F92F28">
      <w:pPr>
        <w:rPr>
          <w:i/>
        </w:rPr>
      </w:pPr>
      <w:r w:rsidRPr="00F92F28">
        <w:rPr>
          <w:i/>
        </w:rPr>
        <w:t>- Pour les autres opérations : la durée de conservation des pièces justificatives est de deux ans à compter du 31 décembre suivant la présentation des comptes dans lesquels figurent les dépenses finales de l’opération achevée.</w:t>
      </w:r>
    </w:p>
    <w:p w14:paraId="69C74606" w14:textId="77777777" w:rsidR="00F92F28" w:rsidRPr="00F92F28" w:rsidRDefault="00F92F28" w:rsidP="00F92F28">
      <w:pPr>
        <w:rPr>
          <w:i/>
        </w:rPr>
      </w:pPr>
      <w:r w:rsidRPr="00F92F28">
        <w:rPr>
          <w:i/>
        </w:rPr>
        <w:lastRenderedPageBreak/>
        <w:t>Une autorité de gestion peut décider d’appliquer aux opérations pour lesquelles le montant total de dépenses éligibles est inférieur à 1 000 000 € le délai de conservation de deux années en application de l’article 140 du règlement cadre</w:t>
      </w:r>
      <w:r>
        <w:rPr>
          <w:rStyle w:val="Appelnotedebasdep"/>
          <w:i/>
        </w:rPr>
        <w:footnoteReference w:id="32"/>
      </w:r>
      <w:r w:rsidRPr="00F92F28">
        <w:rPr>
          <w:i/>
        </w:rPr>
        <w:t>.</w:t>
      </w:r>
    </w:p>
    <w:p w14:paraId="1CD655BC" w14:textId="77777777" w:rsidR="004241DC" w:rsidRDefault="004241DC" w:rsidP="002732A4"/>
    <w:p w14:paraId="65A3C2F2" w14:textId="77777777" w:rsidR="004241DC" w:rsidRPr="001B71BE" w:rsidRDefault="004241DC" w:rsidP="002732A4">
      <w:pPr>
        <w:rPr>
          <w:b/>
        </w:rPr>
      </w:pPr>
      <w:r w:rsidRPr="001B71BE">
        <w:rPr>
          <w:b/>
        </w:rPr>
        <w:t>6 – Exécution du marché</w:t>
      </w:r>
      <w:r w:rsidR="00E355AB">
        <w:rPr>
          <w:b/>
        </w:rPr>
        <w:t xml:space="preserve"> (A chaque demande de paiement)</w:t>
      </w:r>
      <w:r w:rsidR="00F53F8C">
        <w:rPr>
          <w:b/>
        </w:rPr>
        <w:t xml:space="preserve">. </w:t>
      </w:r>
      <w:r w:rsidR="00F53F8C" w:rsidRPr="00F53F8C">
        <w:rPr>
          <w:b/>
        </w:rPr>
        <w:t>Toutes les prestations du marché ont-elles été effectuées conformément aux dispositions prévues dans les documents du marché public ? Un avenant a-t-il été passé ? Si oui est-il fondé et conforme à la règlementation en vig</w:t>
      </w:r>
      <w:r w:rsidR="00F53F8C">
        <w:rPr>
          <w:b/>
        </w:rPr>
        <w:t>u</w:t>
      </w:r>
      <w:r w:rsidR="00F53F8C" w:rsidRPr="00F53F8C">
        <w:rPr>
          <w:b/>
        </w:rPr>
        <w:t>eur ?</w:t>
      </w:r>
    </w:p>
    <w:p w14:paraId="567A99DA" w14:textId="77777777" w:rsidR="00FA0F89" w:rsidRDefault="00FA0F89" w:rsidP="002732A4"/>
    <w:p w14:paraId="386D152A" w14:textId="77777777" w:rsidR="008230BA" w:rsidRDefault="00E51C12" w:rsidP="002732A4">
      <w:r>
        <w:t xml:space="preserve">Cette étape consiste simplement à s’assurer que le marché est exécuté de façon satisfaisante par rapport à ce qui a été conclu avec l’opérateur économique. </w:t>
      </w:r>
      <w:r w:rsidR="008230BA">
        <w:t xml:space="preserve">Il convient à chaque demande de paiement du bénéficiaire de s’en assurer. Si des modifications du marché </w:t>
      </w:r>
      <w:r w:rsidR="000A73A1">
        <w:t>ont été apportées</w:t>
      </w:r>
      <w:r w:rsidR="008230BA">
        <w:t xml:space="preserve"> pendant son exécution, il convient de </w:t>
      </w:r>
      <w:r w:rsidR="000A73A1">
        <w:t xml:space="preserve">vérifier </w:t>
      </w:r>
      <w:r w:rsidR="008230BA">
        <w:t xml:space="preserve">certaines règles : </w:t>
      </w:r>
    </w:p>
    <w:p w14:paraId="4BD1C559" w14:textId="77777777" w:rsidR="008230BA" w:rsidRDefault="008230BA" w:rsidP="002732A4">
      <w:r>
        <w:t xml:space="preserve">- aucune modification substantielle du marché ne doit </w:t>
      </w:r>
      <w:r w:rsidR="000A73A1">
        <w:t>avoir été</w:t>
      </w:r>
      <w:r>
        <w:t xml:space="preserve"> apportée, c’est-à-dire que l’i</w:t>
      </w:r>
      <w:r w:rsidR="008462E2">
        <w:t>ssue de l’appel d’offre initial</w:t>
      </w:r>
      <w:r>
        <w:t xml:space="preserve"> ne doit ne pas être remise en cause par la modification apportée au marché</w:t>
      </w:r>
      <w:r w:rsidR="003D0BF3">
        <w:t xml:space="preserve"> (article 139 du décret n°2016-360)</w:t>
      </w:r>
      <w:r w:rsidR="00D46EF3">
        <w:t>.</w:t>
      </w:r>
      <w:r w:rsidR="003D0BF3">
        <w:t xml:space="preserve"> Lorsque le montant de la modification est inférieur aux seuils européens et à 10 % du montant du marché initial (marchés de services et de fournitures) ou à 15 % du montant du marché initial (marchés de travaux), il n’est pas nécessaire de vérifier si les conditions à l’article 139-5° sont réunies.</w:t>
      </w:r>
    </w:p>
    <w:p w14:paraId="498CC00C" w14:textId="77777777" w:rsidR="008230BA" w:rsidRDefault="008230BA" w:rsidP="002732A4">
      <w:r>
        <w:t>- les travaux, services ou fournitures supplémentaires ne sont autorisés qu’à la suite de circonstances imprévues. Ceci nécessite une justification étayée</w:t>
      </w:r>
      <w:r w:rsidR="00DF5CDC">
        <w:rPr>
          <w:rStyle w:val="Appelnotedebasdep"/>
        </w:rPr>
        <w:footnoteReference w:id="33"/>
      </w:r>
      <w:r>
        <w:t xml:space="preserve">. </w:t>
      </w:r>
    </w:p>
    <w:p w14:paraId="37B06899" w14:textId="77777777" w:rsidR="008230BA" w:rsidRDefault="008230BA" w:rsidP="002732A4">
      <w:r>
        <w:t xml:space="preserve"> </w:t>
      </w:r>
    </w:p>
    <w:p w14:paraId="05A98011" w14:textId="77777777" w:rsidR="00B900E6" w:rsidRPr="00B900E6" w:rsidRDefault="00B900E6" w:rsidP="00B900E6"/>
    <w:p w14:paraId="52A2AE6B" w14:textId="77777777" w:rsidR="008A578D" w:rsidRPr="00AD7973" w:rsidRDefault="00DD10EB" w:rsidP="008A578D">
      <w:pPr>
        <w:pStyle w:val="Normalgrasvertcentre"/>
        <w:rPr>
          <w:sz w:val="24"/>
          <w:szCs w:val="24"/>
        </w:rPr>
      </w:pPr>
      <w:r>
        <w:rPr>
          <w:sz w:val="24"/>
          <w:szCs w:val="24"/>
        </w:rPr>
        <w:t xml:space="preserve">C - </w:t>
      </w:r>
      <w:r w:rsidR="008A578D" w:rsidRPr="00AD7973">
        <w:rPr>
          <w:sz w:val="24"/>
          <w:szCs w:val="24"/>
        </w:rPr>
        <w:t>Dérogation</w:t>
      </w:r>
      <w:r w:rsidR="008462E2">
        <w:rPr>
          <w:sz w:val="24"/>
          <w:szCs w:val="24"/>
        </w:rPr>
        <w:t>s</w:t>
      </w:r>
      <w:r w:rsidR="008A578D" w:rsidRPr="00AD7973">
        <w:rPr>
          <w:sz w:val="24"/>
          <w:szCs w:val="24"/>
        </w:rPr>
        <w:t xml:space="preserve"> et exclusion</w:t>
      </w:r>
      <w:r w:rsidR="008462E2">
        <w:rPr>
          <w:sz w:val="24"/>
          <w:szCs w:val="24"/>
        </w:rPr>
        <w:t>s</w:t>
      </w:r>
      <w:r w:rsidR="008A578D" w:rsidRPr="00AD7973">
        <w:rPr>
          <w:sz w:val="24"/>
          <w:szCs w:val="24"/>
        </w:rPr>
        <w:t xml:space="preserve"> </w:t>
      </w:r>
    </w:p>
    <w:p w14:paraId="460A1916" w14:textId="77777777" w:rsidR="003A72BE" w:rsidRDefault="003A72BE" w:rsidP="008A578D">
      <w:pPr>
        <w:pStyle w:val="Normalgrasvertcentre"/>
      </w:pPr>
    </w:p>
    <w:p w14:paraId="0C712F25" w14:textId="77777777" w:rsidR="00376141" w:rsidRPr="0028177C" w:rsidRDefault="00376141" w:rsidP="00376141">
      <w:pPr>
        <w:pStyle w:val="Paragraphedeliste"/>
        <w:numPr>
          <w:ilvl w:val="0"/>
          <w:numId w:val="24"/>
        </w:numPr>
        <w:rPr>
          <w:b/>
        </w:rPr>
      </w:pPr>
      <w:r w:rsidRPr="0028177C">
        <w:rPr>
          <w:b/>
        </w:rPr>
        <w:t>Les exclusions de marchés publics</w:t>
      </w:r>
    </w:p>
    <w:p w14:paraId="6D2A6339" w14:textId="77777777" w:rsidR="009357FA" w:rsidRDefault="00C71EC1" w:rsidP="009357FA">
      <w:pPr>
        <w:pStyle w:val="Paragraphedeliste"/>
        <w:numPr>
          <w:ilvl w:val="0"/>
          <w:numId w:val="26"/>
        </w:numPr>
      </w:pPr>
      <w:r>
        <w:t>La</w:t>
      </w:r>
      <w:r w:rsidR="009357FA">
        <w:t xml:space="preserve"> « </w:t>
      </w:r>
      <w:r w:rsidR="00030E11">
        <w:t>quasi-régie</w:t>
      </w:r>
      <w:r w:rsidR="009357FA">
        <w:t> »</w:t>
      </w:r>
      <w:r w:rsidR="00030E11">
        <w:t xml:space="preserve"> (in-house)</w:t>
      </w:r>
      <w:r w:rsidR="009357FA">
        <w:t xml:space="preserve"> est prévue à l’article 17 de l’ordonnance n°2015-899</w:t>
      </w:r>
    </w:p>
    <w:p w14:paraId="0E2D782C" w14:textId="77777777" w:rsidR="00030E11" w:rsidRDefault="00C76512" w:rsidP="00030E11">
      <w:r>
        <w:t>Trois conditions cumulatives à la</w:t>
      </w:r>
      <w:r w:rsidR="00030E11">
        <w:t xml:space="preserve"> reconnaissance d’une relation de quasi-régie : </w:t>
      </w:r>
    </w:p>
    <w:p w14:paraId="0167EA35" w14:textId="77777777" w:rsidR="00030E11" w:rsidRDefault="00030E11" w:rsidP="000A73A1">
      <w:pPr>
        <w:ind w:left="708"/>
      </w:pPr>
      <w:r>
        <w:t xml:space="preserve">- </w:t>
      </w:r>
      <w:r w:rsidR="00C76512">
        <w:t>le contrôle exercé par le ou les pouvoirs adjudicateurs</w:t>
      </w:r>
      <w:r>
        <w:t xml:space="preserve"> sur le ou leur </w:t>
      </w:r>
      <w:r w:rsidR="00C76512">
        <w:t>cocontractant doit être</w:t>
      </w:r>
      <w:r>
        <w:t xml:space="preserve">   comparable à celui qu’ils exercent respectivement sur leurs propres services ;</w:t>
      </w:r>
    </w:p>
    <w:p w14:paraId="0A90ABE7" w14:textId="77777777" w:rsidR="00CF2108" w:rsidRDefault="00CF2108" w:rsidP="00030E11">
      <w:r>
        <w:t>Cette notion est clairement défini</w:t>
      </w:r>
      <w:r w:rsidR="003D0BF3">
        <w:t>e</w:t>
      </w:r>
      <w:r>
        <w:t xml:space="preserve"> dans l’ordonnance du 23 juillet 2015.</w:t>
      </w:r>
    </w:p>
    <w:p w14:paraId="6B1F7CAE" w14:textId="77777777" w:rsidR="00030E11" w:rsidRDefault="00030E11" w:rsidP="000A73A1">
      <w:pPr>
        <w:ind w:left="708"/>
      </w:pPr>
      <w:r>
        <w:t>- l’activité du cocontractant doit être principalement cons</w:t>
      </w:r>
      <w:r w:rsidR="00CF2108">
        <w:t xml:space="preserve">acrée </w:t>
      </w:r>
      <w:r>
        <w:t xml:space="preserve">à ce(s) pouvoir(s) adjudicateur(s) ; </w:t>
      </w:r>
    </w:p>
    <w:p w14:paraId="31FF1AA8" w14:textId="77777777" w:rsidR="00CF2108" w:rsidRDefault="00CF2108" w:rsidP="00030E11">
      <w:r>
        <w:t xml:space="preserve">Il s’agit ici de pouvoir montrer que les activités et les missions du cocontractant ont principalement pour vocation de répondre aux besoins du pouvoir adjudicateur. </w:t>
      </w:r>
    </w:p>
    <w:p w14:paraId="22AE6F6E" w14:textId="77777777" w:rsidR="00030E11" w:rsidRDefault="00030E11" w:rsidP="000A73A1">
      <w:pPr>
        <w:ind w:left="708"/>
      </w:pPr>
      <w:r>
        <w:t xml:space="preserve">- </w:t>
      </w:r>
      <w:r w:rsidR="00C76512">
        <w:t>la personne morale contrôlée ne comporte, en principe, pas de participation directe de capitaux privés</w:t>
      </w:r>
      <w:r>
        <w:t>.</w:t>
      </w:r>
    </w:p>
    <w:p w14:paraId="18F5A4FB" w14:textId="77777777" w:rsidR="00CF2108" w:rsidRDefault="00CF2108" w:rsidP="00030E11">
      <w:r>
        <w:t>Il doit également exister un rapport institutionnel très fort entre les deux parties, cela peut être justifié à travers les statuts des structures qui en général appui</w:t>
      </w:r>
      <w:r w:rsidR="008462E2">
        <w:t>ent</w:t>
      </w:r>
      <w:r>
        <w:t xml:space="preserve"> l’analyse de l’autorité de gestion lorsqu’elle souhaite faire appel à cette disposition. </w:t>
      </w:r>
    </w:p>
    <w:p w14:paraId="22C6F8BE" w14:textId="77777777" w:rsidR="0028177C" w:rsidRDefault="0028177C" w:rsidP="0028177C">
      <w:pPr>
        <w:pStyle w:val="Paragraphedeliste"/>
        <w:ind w:left="1068"/>
      </w:pPr>
    </w:p>
    <w:p w14:paraId="46415668" w14:textId="77777777" w:rsidR="0028177C" w:rsidRDefault="008857C7" w:rsidP="0028177C">
      <w:pPr>
        <w:pStyle w:val="Paragraphedeliste"/>
        <w:numPr>
          <w:ilvl w:val="0"/>
          <w:numId w:val="26"/>
        </w:numPr>
      </w:pPr>
      <w:r>
        <w:t>La l</w:t>
      </w:r>
      <w:r w:rsidR="00396846">
        <w:t>iste des services sociaux et autres services spécifiques est désormais définie dans l’avis relatif aux contrats de la commande publique du 27 mars 2016</w:t>
      </w:r>
    </w:p>
    <w:p w14:paraId="539CB543" w14:textId="77777777" w:rsidR="0028177C" w:rsidRDefault="0028177C" w:rsidP="0028177C">
      <w:pPr>
        <w:pStyle w:val="Paragraphedeliste"/>
        <w:ind w:left="1068"/>
      </w:pPr>
    </w:p>
    <w:p w14:paraId="3DE2B13E" w14:textId="77777777" w:rsidR="0098389B" w:rsidRPr="0028177C" w:rsidRDefault="0098389B" w:rsidP="0098389B">
      <w:pPr>
        <w:pStyle w:val="Paragraphedeliste"/>
        <w:numPr>
          <w:ilvl w:val="0"/>
          <w:numId w:val="26"/>
        </w:numPr>
      </w:pPr>
      <w:r w:rsidRPr="0028177C">
        <w:t>Coopération entre pouvoir</w:t>
      </w:r>
      <w:r w:rsidR="008462E2">
        <w:t>s</w:t>
      </w:r>
      <w:r w:rsidRPr="0028177C">
        <w:t xml:space="preserve"> adjudicateur</w:t>
      </w:r>
      <w:r w:rsidR="008462E2">
        <w:t>s</w:t>
      </w:r>
    </w:p>
    <w:p w14:paraId="3CB67290" w14:textId="77777777" w:rsidR="0028177C" w:rsidRDefault="0028177C" w:rsidP="0028177C">
      <w:r w:rsidRPr="0028177C">
        <w:t>L’établissement d’un contrat de coopération, repose sur le respect de trois critères :</w:t>
      </w:r>
      <w:r>
        <w:t xml:space="preserve"> </w:t>
      </w:r>
    </w:p>
    <w:p w14:paraId="3E55CC63" w14:textId="77777777" w:rsidR="0028177C" w:rsidRDefault="0028177C" w:rsidP="0028177C"/>
    <w:p w14:paraId="7C8ED624" w14:textId="77777777" w:rsidR="0028177C" w:rsidRDefault="0028177C" w:rsidP="0028177C">
      <w:pPr>
        <w:pStyle w:val="Paragraphedeliste"/>
        <w:numPr>
          <w:ilvl w:val="0"/>
          <w:numId w:val="35"/>
        </w:numPr>
      </w:pPr>
      <w:r>
        <w:t xml:space="preserve">Critère 1 – La coopération public-public doit avoir pour objet d’assurer conjointement la réalisation de missions de services publics en vue d’atteindre des objectifs communs. </w:t>
      </w:r>
    </w:p>
    <w:p w14:paraId="0EBA1DAA" w14:textId="77777777" w:rsidR="0028177C" w:rsidRDefault="0028177C" w:rsidP="0028177C">
      <w:r>
        <w:t xml:space="preserve">La coopération ici doit s’entendre au sens strict, les partenaires doivent avoir un rôle équivalent dans le partenariat qu’ils envisagent de mettre en place. </w:t>
      </w:r>
    </w:p>
    <w:p w14:paraId="1510BC88" w14:textId="77777777" w:rsidR="0028177C" w:rsidRDefault="0028177C" w:rsidP="0028177C"/>
    <w:p w14:paraId="3E1D629B" w14:textId="77777777" w:rsidR="0028177C" w:rsidRDefault="0028177C" w:rsidP="0028177C">
      <w:pPr>
        <w:pStyle w:val="Paragraphedeliste"/>
        <w:numPr>
          <w:ilvl w:val="0"/>
          <w:numId w:val="36"/>
        </w:numPr>
      </w:pPr>
      <w:r>
        <w:t xml:space="preserve">Critère 2 – La coopération public-public ne doit obéir qu’à des considérations d’intérêt général </w:t>
      </w:r>
    </w:p>
    <w:p w14:paraId="085CACCD" w14:textId="77777777" w:rsidR="0028177C" w:rsidRDefault="0028177C" w:rsidP="0028177C">
      <w:r>
        <w:t>Cela signifie que la mise en œuvre de cette coopération entre pouvoir</w:t>
      </w:r>
      <w:r w:rsidR="008462E2">
        <w:t>s</w:t>
      </w:r>
      <w:r>
        <w:t xml:space="preserve"> adjudicateur</w:t>
      </w:r>
      <w:r w:rsidR="008462E2">
        <w:t>s</w:t>
      </w:r>
      <w:r>
        <w:t xml:space="preserve"> ne doit pas pouvoir être considérée comme le résultat d’une activité commerciale. Par conséquent, les coûts et frais de gestion dus pour la mise en œuvre de cette coopération doivent présenter un caractère raisonnable par rapport aux pratiques du marché. Ceci permettant au juge de s’assurer qu’il n’y a pas d’intervention à des fins lucratives de l’un des partenaires</w:t>
      </w:r>
      <w:r w:rsidR="000A73A1">
        <w:t>.</w:t>
      </w:r>
    </w:p>
    <w:p w14:paraId="665DFBCD" w14:textId="77777777" w:rsidR="0028177C" w:rsidRDefault="0028177C" w:rsidP="0028177C"/>
    <w:p w14:paraId="3E91E4AE" w14:textId="77777777" w:rsidR="0028177C" w:rsidRDefault="0028177C" w:rsidP="0028177C">
      <w:pPr>
        <w:pStyle w:val="Paragraphedeliste"/>
        <w:numPr>
          <w:ilvl w:val="0"/>
          <w:numId w:val="36"/>
        </w:numPr>
      </w:pPr>
      <w:r>
        <w:t xml:space="preserve">Critère 3 – Les </w:t>
      </w:r>
      <w:r w:rsidR="00486DDF">
        <w:t>acheteurs</w:t>
      </w:r>
      <w:r>
        <w:t xml:space="preserve"> doivent réaliser moins de 20% des activités concernées par la coopération sur le marché concurrentiel</w:t>
      </w:r>
    </w:p>
    <w:p w14:paraId="7DFEAEB0" w14:textId="77777777" w:rsidR="0028177C" w:rsidRDefault="0028177C" w:rsidP="0028177C">
      <w:r>
        <w:t xml:space="preserve">Répondre à cette condition revient pour les </w:t>
      </w:r>
      <w:r w:rsidR="00486DDF">
        <w:t>acheteurs</w:t>
      </w:r>
      <w:r w:rsidR="000A73A1">
        <w:t xml:space="preserve"> s</w:t>
      </w:r>
      <w:r>
        <w:t xml:space="preserve">’associant, à pouvoir mesurer et </w:t>
      </w:r>
      <w:r w:rsidR="00854DF4">
        <w:t>démontrer</w:t>
      </w:r>
      <w:r>
        <w:t xml:space="preserve"> qu’ils réalisent moins de 20</w:t>
      </w:r>
      <w:r w:rsidR="00C76512">
        <w:t>% de</w:t>
      </w:r>
      <w:r>
        <w:t xml:space="preserve"> leur activité sur le marché concurrentiel. Il est recommandé d’ajouter cette pièce justificative dans le dossier de demande d’aide européenne. </w:t>
      </w:r>
    </w:p>
    <w:p w14:paraId="2E80A115" w14:textId="77777777" w:rsidR="0028177C" w:rsidRDefault="0028177C" w:rsidP="0028177C"/>
    <w:p w14:paraId="17B061F2" w14:textId="77777777" w:rsidR="00E355AB" w:rsidRDefault="00376141" w:rsidP="0028177C">
      <w:pPr>
        <w:pStyle w:val="Paragraphedeliste"/>
        <w:numPr>
          <w:ilvl w:val="0"/>
          <w:numId w:val="24"/>
        </w:numPr>
        <w:rPr>
          <w:b/>
        </w:rPr>
      </w:pPr>
      <w:r w:rsidRPr="0028177C">
        <w:rPr>
          <w:b/>
        </w:rPr>
        <w:t xml:space="preserve">Les </w:t>
      </w:r>
      <w:r w:rsidR="0098389B" w:rsidRPr="0028177C">
        <w:rPr>
          <w:b/>
        </w:rPr>
        <w:t xml:space="preserve">autres </w:t>
      </w:r>
      <w:r w:rsidR="0028177C">
        <w:rPr>
          <w:b/>
        </w:rPr>
        <w:t>contrats de la commande publique</w:t>
      </w:r>
    </w:p>
    <w:p w14:paraId="64AA470C" w14:textId="77777777" w:rsidR="0028177C" w:rsidRPr="0028177C" w:rsidRDefault="0028177C" w:rsidP="0028177C">
      <w:pPr>
        <w:pStyle w:val="Paragraphedeliste"/>
        <w:rPr>
          <w:b/>
        </w:rPr>
      </w:pPr>
    </w:p>
    <w:p w14:paraId="737471CC" w14:textId="77777777" w:rsidR="005761B8" w:rsidRDefault="005761B8" w:rsidP="005761B8">
      <w:pPr>
        <w:pStyle w:val="Paragraphedeliste"/>
        <w:numPr>
          <w:ilvl w:val="0"/>
          <w:numId w:val="27"/>
        </w:numPr>
      </w:pPr>
      <w:r>
        <w:t>Concession</w:t>
      </w:r>
    </w:p>
    <w:p w14:paraId="553E822A" w14:textId="77777777" w:rsidR="005761B8" w:rsidRDefault="005761B8" w:rsidP="005761B8">
      <w:r>
        <w:t>Les contrats par lesquels la personne publique confie à un opérateur économique l’exécution de travaux ou la gestion et l’exploitation d’une zone d’activité économique relèvent de la commande publique dès lors que la personne publique ayant la qualité de pouvoir adjudicateur obtient une prestation visant à satisfaire son besoin en contrepartie d’un</w:t>
      </w:r>
      <w:r w:rsidR="000A73A1">
        <w:t>e</w:t>
      </w:r>
      <w:r>
        <w:t xml:space="preserve"> </w:t>
      </w:r>
      <w:r w:rsidR="000A73A1">
        <w:t xml:space="preserve">contrepartie </w:t>
      </w:r>
      <w:r>
        <w:t xml:space="preserve">économique constitué soit par un prix ou un droit d’exploitation. </w:t>
      </w:r>
    </w:p>
    <w:p w14:paraId="5A146431" w14:textId="77777777" w:rsidR="005761B8" w:rsidRDefault="005761B8" w:rsidP="005761B8">
      <w:r>
        <w:t>Les règles de passation applicables dépendront de la qualification du contrat.</w:t>
      </w:r>
    </w:p>
    <w:p w14:paraId="5B548AF5" w14:textId="77777777" w:rsidR="005761B8" w:rsidRDefault="005761B8" w:rsidP="005761B8">
      <w:r>
        <w:t>Le contrat d’exploitation sera qualifié de marché public lorsque la personne publique paye un prix en contrepartie de la prestation qu’elle reçoit. Dans ces conditions, les règles de passation et d’exécution relèveront de l’ordonnance n°2015-899 du 23 juillet 2015 et de son décret d’application n° 2016-360 du 25 mars 2016.</w:t>
      </w:r>
    </w:p>
    <w:p w14:paraId="5563CD11" w14:textId="77777777" w:rsidR="005761B8" w:rsidRDefault="005761B8" w:rsidP="005761B8">
      <w:r>
        <w:t>En revanche, le contrat pourra être qualifié de contrat de concession lorsque la contrepartie de la prestation dont la collectivité territoriale bénéficie est un droit d’exploiter l’ouvrage ou le service (éventuellement assorti d’un prix) et que le titulaire supporte un risque lié à l’exploitation de l’ouvrage ou du service. Dans ce cas, l’ordonnance n° 2016-65 du 29 janvier 2016 relative aux contrats de concession et son décret d’application n° 2016-86 du 1er février 2016 s’appliqueront.</w:t>
      </w:r>
    </w:p>
    <w:p w14:paraId="70BEECE0" w14:textId="77777777" w:rsidR="005761B8" w:rsidRDefault="005761B8" w:rsidP="005761B8">
      <w:r>
        <w:t xml:space="preserve">Le contrat </w:t>
      </w:r>
      <w:r w:rsidR="00C76512">
        <w:t>d’exploitation qui</w:t>
      </w:r>
      <w:r>
        <w:t xml:space="preserve"> présente les caractéristiques d’un contrat de quasi-régie ou d’une coopération public-public, ne permet pas d’exclure la présence d’une éventuelle aide d’Etat au niveau de l’aménageur dès lors que le contrat est dispensé des règles de publicité et de mise en concurrence</w:t>
      </w:r>
      <w:r w:rsidR="000A73A1">
        <w:rPr>
          <w:rStyle w:val="Appelnotedebasdep"/>
        </w:rPr>
        <w:footnoteReference w:id="34"/>
      </w:r>
      <w:r>
        <w:t>.</w:t>
      </w:r>
    </w:p>
    <w:p w14:paraId="67923633" w14:textId="77777777" w:rsidR="00044155" w:rsidRDefault="00044155" w:rsidP="005761B8"/>
    <w:p w14:paraId="6F3620DC" w14:textId="77777777" w:rsidR="005761B8" w:rsidRDefault="004B3E0E" w:rsidP="005761B8">
      <w:pPr>
        <w:pStyle w:val="Paragraphedeliste"/>
        <w:numPr>
          <w:ilvl w:val="0"/>
          <w:numId w:val="27"/>
        </w:numPr>
      </w:pPr>
      <w:r>
        <w:t>Partenariat public-privé</w:t>
      </w:r>
    </w:p>
    <w:p w14:paraId="0A978C10" w14:textId="77777777" w:rsidR="005761B8" w:rsidRDefault="00044155" w:rsidP="005761B8">
      <w:r>
        <w:t xml:space="preserve">Dans le cadre de la transposition des directives « marchés publics » et afin de </w:t>
      </w:r>
      <w:r w:rsidR="005761B8">
        <w:t>garantir la conformité du droit français aux exigences du droit de l’Union européenne une</w:t>
      </w:r>
      <w:r w:rsidR="00CE6BFE">
        <w:t xml:space="preserve"> définition</w:t>
      </w:r>
      <w:r w:rsidR="005761B8">
        <w:t xml:space="preserve"> </w:t>
      </w:r>
      <w:r>
        <w:t>précise</w:t>
      </w:r>
      <w:r w:rsidR="005761B8">
        <w:t xml:space="preserve"> de la catégorie des « marchés </w:t>
      </w:r>
      <w:r w:rsidR="005761B8">
        <w:lastRenderedPageBreak/>
        <w:t xml:space="preserve">publics » a été opérée. Pour sécuriser le cadre juridique des montages PPP, la réforme entrée </w:t>
      </w:r>
      <w:r w:rsidR="00C76512">
        <w:t xml:space="preserve">en </w:t>
      </w:r>
      <w:proofErr w:type="gramStart"/>
      <w:r w:rsidR="00C76512">
        <w:t>vigueur</w:t>
      </w:r>
      <w:r w:rsidR="005761B8">
        <w:t xml:space="preserve">  au</w:t>
      </w:r>
      <w:proofErr w:type="gramEnd"/>
      <w:r w:rsidR="005761B8">
        <w:t xml:space="preserve">  1er  avril  2016  harmonise  et  unifie  les  différents  montages  de  PPP  sous  la  forme  unique  du  « marché de partenariat » rénové.</w:t>
      </w:r>
      <w:r>
        <w:t xml:space="preserve"> Une fiche DAJ y est </w:t>
      </w:r>
      <w:r w:rsidR="00E355AB">
        <w:t>consacrée</w:t>
      </w:r>
      <w:r>
        <w:t xml:space="preserve">, vous pouvez la retrouver au lien suivant, </w:t>
      </w:r>
      <w:hyperlink r:id="rId21" w:history="1">
        <w:r w:rsidRPr="00044155">
          <w:rPr>
            <w:rStyle w:val="Lienhypertexte"/>
          </w:rPr>
          <w:t>ici</w:t>
        </w:r>
      </w:hyperlink>
      <w:r>
        <w:t>.</w:t>
      </w:r>
      <w:r w:rsidR="00D46EF3">
        <w:t xml:space="preserve"> Des règles particulières applicables au soutien accordé par les FESI aux PPP sont également décrites et prévues </w:t>
      </w:r>
      <w:r w:rsidR="007C1BFE">
        <w:t>aux articles 62, 63 et 64 du règlement général 1303/2013. Il s’agit d’une définition plus large que la notion de PPP en droit français.</w:t>
      </w:r>
    </w:p>
    <w:p w14:paraId="72E50A44" w14:textId="77777777" w:rsidR="00222A95" w:rsidRPr="002D2779" w:rsidRDefault="00222A95" w:rsidP="00222A95"/>
    <w:p w14:paraId="57C7C558" w14:textId="77777777" w:rsidR="008A578D" w:rsidRDefault="008A578D" w:rsidP="008A578D">
      <w:pPr>
        <w:pStyle w:val="Titre1"/>
        <w:numPr>
          <w:ilvl w:val="0"/>
          <w:numId w:val="1"/>
        </w:numPr>
        <w:ind w:left="426"/>
      </w:pPr>
      <w:r>
        <w:t xml:space="preserve">Principales différences </w:t>
      </w:r>
      <w:r w:rsidR="00CC0466">
        <w:t>avec l’ancienne réglementation marché public</w:t>
      </w:r>
    </w:p>
    <w:p w14:paraId="25EA9783" w14:textId="77777777" w:rsidR="008A578D" w:rsidRDefault="008A578D" w:rsidP="008A578D"/>
    <w:tbl>
      <w:tblPr>
        <w:tblStyle w:val="Tramemoyenne2-Accent1"/>
        <w:tblW w:w="0" w:type="auto"/>
        <w:tblLook w:val="04A0" w:firstRow="1" w:lastRow="0" w:firstColumn="1" w:lastColumn="0" w:noHBand="0" w:noVBand="1"/>
      </w:tblPr>
      <w:tblGrid>
        <w:gridCol w:w="2273"/>
        <w:gridCol w:w="2251"/>
        <w:gridCol w:w="2266"/>
        <w:gridCol w:w="2272"/>
      </w:tblGrid>
      <w:tr w:rsidR="00CC0466" w14:paraId="175BCAC3" w14:textId="77777777" w:rsidTr="00F926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02" w:type="dxa"/>
            <w:tcBorders>
              <w:left w:val="single" w:sz="4" w:space="0" w:color="auto"/>
              <w:bottom w:val="single" w:sz="4" w:space="0" w:color="auto"/>
              <w:right w:val="single" w:sz="4" w:space="0" w:color="auto"/>
            </w:tcBorders>
          </w:tcPr>
          <w:p w14:paraId="33C34E90" w14:textId="77777777" w:rsidR="00CC0466" w:rsidRDefault="00CC0466" w:rsidP="008A578D">
            <w:r>
              <w:t>Thèmes</w:t>
            </w:r>
          </w:p>
        </w:tc>
        <w:tc>
          <w:tcPr>
            <w:tcW w:w="2302" w:type="dxa"/>
            <w:tcBorders>
              <w:left w:val="single" w:sz="4" w:space="0" w:color="auto"/>
              <w:bottom w:val="single" w:sz="4" w:space="0" w:color="auto"/>
              <w:right w:val="single" w:sz="4" w:space="0" w:color="auto"/>
            </w:tcBorders>
          </w:tcPr>
          <w:p w14:paraId="66A9B936" w14:textId="77777777" w:rsidR="00CC0466" w:rsidRDefault="00CC0466" w:rsidP="008A578D">
            <w:pPr>
              <w:cnfStyle w:val="100000000000" w:firstRow="1" w:lastRow="0" w:firstColumn="0" w:lastColumn="0" w:oddVBand="0" w:evenVBand="0" w:oddHBand="0" w:evenHBand="0" w:firstRowFirstColumn="0" w:firstRowLastColumn="0" w:lastRowFirstColumn="0" w:lastRowLastColumn="0"/>
            </w:pPr>
            <w:r>
              <w:t>Ancien CMP 2006 et ordonnance de 2005</w:t>
            </w:r>
          </w:p>
        </w:tc>
        <w:tc>
          <w:tcPr>
            <w:tcW w:w="2303" w:type="dxa"/>
            <w:tcBorders>
              <w:left w:val="single" w:sz="4" w:space="0" w:color="auto"/>
              <w:bottom w:val="single" w:sz="4" w:space="0" w:color="auto"/>
              <w:right w:val="single" w:sz="4" w:space="0" w:color="auto"/>
            </w:tcBorders>
          </w:tcPr>
          <w:p w14:paraId="183330B9" w14:textId="77777777" w:rsidR="00CC0466" w:rsidRDefault="00897864" w:rsidP="008A578D">
            <w:pPr>
              <w:cnfStyle w:val="100000000000" w:firstRow="1" w:lastRow="0" w:firstColumn="0" w:lastColumn="0" w:oddVBand="0" w:evenVBand="0" w:oddHBand="0" w:evenHBand="0" w:firstRowFirstColumn="0" w:firstRowLastColumn="0" w:lastRowFirstColumn="0" w:lastRowLastColumn="0"/>
            </w:pPr>
            <w:r>
              <w:t>Ordonnance de 2015</w:t>
            </w:r>
            <w:r w:rsidR="00CC0466">
              <w:t xml:space="preserve"> et décret</w:t>
            </w:r>
            <w:r w:rsidR="008D63B5">
              <w:t>s</w:t>
            </w:r>
            <w:r w:rsidR="00CC0466">
              <w:t xml:space="preserve"> d’application</w:t>
            </w:r>
          </w:p>
        </w:tc>
        <w:tc>
          <w:tcPr>
            <w:tcW w:w="2303" w:type="dxa"/>
            <w:tcBorders>
              <w:left w:val="single" w:sz="4" w:space="0" w:color="auto"/>
              <w:bottom w:val="single" w:sz="4" w:space="0" w:color="auto"/>
              <w:right w:val="single" w:sz="4" w:space="0" w:color="auto"/>
            </w:tcBorders>
          </w:tcPr>
          <w:p w14:paraId="7EE0F674" w14:textId="77777777" w:rsidR="00CC0466" w:rsidRDefault="00CC0466" w:rsidP="008A578D">
            <w:pPr>
              <w:cnfStyle w:val="100000000000" w:firstRow="1" w:lastRow="0" w:firstColumn="0" w:lastColumn="0" w:oddVBand="0" w:evenVBand="0" w:oddHBand="0" w:evenHBand="0" w:firstRowFirstColumn="0" w:firstRowLastColumn="0" w:lastRowFirstColumn="0" w:lastRowLastColumn="0"/>
            </w:pPr>
            <w:r>
              <w:t>Commentaires</w:t>
            </w:r>
          </w:p>
        </w:tc>
      </w:tr>
      <w:tr w:rsidR="001507E5" w14:paraId="7E2F9162" w14:textId="77777777" w:rsidTr="00F92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Borders>
              <w:top w:val="single" w:sz="4" w:space="0" w:color="auto"/>
              <w:left w:val="single" w:sz="4" w:space="0" w:color="auto"/>
              <w:bottom w:val="single" w:sz="4" w:space="0" w:color="auto"/>
            </w:tcBorders>
            <w:shd w:val="clear" w:color="auto" w:fill="FABF8F" w:themeFill="accent6" w:themeFillTint="99"/>
          </w:tcPr>
          <w:p w14:paraId="377E4FD1" w14:textId="77777777" w:rsidR="001507E5" w:rsidRDefault="001507E5" w:rsidP="00F9263E">
            <w:pPr>
              <w:jc w:val="left"/>
            </w:pPr>
            <w:r>
              <w:t xml:space="preserve">Acheteurs publics </w:t>
            </w:r>
          </w:p>
        </w:tc>
        <w:tc>
          <w:tcPr>
            <w:tcW w:w="2302" w:type="dxa"/>
            <w:tcBorders>
              <w:top w:val="single" w:sz="4" w:space="0" w:color="auto"/>
              <w:bottom w:val="single" w:sz="4" w:space="0" w:color="auto"/>
            </w:tcBorders>
            <w:shd w:val="clear" w:color="auto" w:fill="D9D9D9" w:themeFill="background1" w:themeFillShade="D9"/>
          </w:tcPr>
          <w:p w14:paraId="03C8C884" w14:textId="77777777" w:rsidR="001507E5" w:rsidRDefault="008D63B5" w:rsidP="00F9263E">
            <w:pPr>
              <w:jc w:val="left"/>
              <w:cnfStyle w:val="000000100000" w:firstRow="0" w:lastRow="0" w:firstColumn="0" w:lastColumn="0" w:oddVBand="0" w:evenVBand="0" w:oddHBand="1" w:evenHBand="0" w:firstRowFirstColumn="0" w:firstRowLastColumn="0" w:lastRowFirstColumn="0" w:lastRowLastColumn="0"/>
            </w:pPr>
            <w:r>
              <w:t>Article 2 CMP</w:t>
            </w:r>
          </w:p>
        </w:tc>
        <w:tc>
          <w:tcPr>
            <w:tcW w:w="2303" w:type="dxa"/>
            <w:tcBorders>
              <w:top w:val="single" w:sz="4" w:space="0" w:color="auto"/>
              <w:bottom w:val="single" w:sz="4" w:space="0" w:color="auto"/>
            </w:tcBorders>
            <w:shd w:val="clear" w:color="auto" w:fill="FFFFFF" w:themeFill="background1"/>
          </w:tcPr>
          <w:p w14:paraId="48C11D49" w14:textId="77777777" w:rsidR="001507E5" w:rsidRDefault="001507E5" w:rsidP="00F9263E">
            <w:pPr>
              <w:jc w:val="left"/>
              <w:cnfStyle w:val="000000100000" w:firstRow="0" w:lastRow="0" w:firstColumn="0" w:lastColumn="0" w:oddVBand="0" w:evenVBand="0" w:oddHBand="1" w:evenHBand="0" w:firstRowFirstColumn="0" w:firstRowLastColumn="0" w:lastRowFirstColumn="0" w:lastRowLastColumn="0"/>
            </w:pPr>
            <w:r>
              <w:t>Article 9, 10 et 11</w:t>
            </w:r>
          </w:p>
          <w:p w14:paraId="338D4F3D" w14:textId="77777777" w:rsidR="008462E2" w:rsidRPr="008462E2" w:rsidRDefault="001507E5" w:rsidP="00F9263E">
            <w:pPr>
              <w:jc w:val="left"/>
              <w:cnfStyle w:val="000000100000" w:firstRow="0" w:lastRow="0" w:firstColumn="0" w:lastColumn="0" w:oddVBand="0" w:evenVBand="0" w:oddHBand="1" w:evenHBand="0" w:firstRowFirstColumn="0" w:firstRowLastColumn="0" w:lastRowFirstColumn="0" w:lastRowLastColumn="0"/>
              <w:rPr>
                <w:u w:val="single"/>
              </w:rPr>
            </w:pPr>
            <w:r>
              <w:t xml:space="preserve">Notion « d’acheteurs publics » constitués de deux groupes, </w:t>
            </w:r>
            <w:r w:rsidRPr="008462E2">
              <w:rPr>
                <w:u w:val="single"/>
              </w:rPr>
              <w:t xml:space="preserve">les </w:t>
            </w:r>
            <w:r w:rsidR="00486DDF" w:rsidRPr="008462E2">
              <w:rPr>
                <w:u w:val="single"/>
              </w:rPr>
              <w:t>acheteurs</w:t>
            </w:r>
            <w:r w:rsidR="008462E2" w:rsidRPr="008462E2">
              <w:rPr>
                <w:u w:val="single"/>
              </w:rPr>
              <w:t> :</w:t>
            </w:r>
          </w:p>
          <w:p w14:paraId="4F25A935" w14:textId="77777777" w:rsidR="001507E5" w:rsidRDefault="001507E5" w:rsidP="00F9263E">
            <w:pPr>
              <w:jc w:val="left"/>
              <w:cnfStyle w:val="000000100000" w:firstRow="0" w:lastRow="0" w:firstColumn="0" w:lastColumn="0" w:oddVBand="0" w:evenVBand="0" w:oddHBand="1" w:evenHBand="0" w:firstRowFirstColumn="0" w:firstRowLastColumn="0" w:lastRowFirstColumn="0" w:lastRowLastColumn="0"/>
            </w:pPr>
            <w:r>
              <w:t>- personnes morales de droit public</w:t>
            </w:r>
          </w:p>
          <w:p w14:paraId="72D92C1E" w14:textId="77777777" w:rsidR="001507E5" w:rsidRDefault="001507E5" w:rsidP="00F9263E">
            <w:pPr>
              <w:jc w:val="left"/>
              <w:cnfStyle w:val="000000100000" w:firstRow="0" w:lastRow="0" w:firstColumn="0" w:lastColumn="0" w:oddVBand="0" w:evenVBand="0" w:oddHBand="1" w:evenHBand="0" w:firstRowFirstColumn="0" w:firstRowLastColumn="0" w:lastRowFirstColumn="0" w:lastRowLastColumn="0"/>
            </w:pPr>
            <w:r>
              <w:t>- personne morales de droit privé répondant à la définition juridique d’organisme de droit public au niveau européen</w:t>
            </w:r>
          </w:p>
          <w:p w14:paraId="107E8140" w14:textId="77777777" w:rsidR="001507E5" w:rsidRDefault="001507E5" w:rsidP="00F9263E">
            <w:pPr>
              <w:jc w:val="left"/>
              <w:cnfStyle w:val="000000100000" w:firstRow="0" w:lastRow="0" w:firstColumn="0" w:lastColumn="0" w:oddVBand="0" w:evenVBand="0" w:oddHBand="1" w:evenHBand="0" w:firstRowFirstColumn="0" w:firstRowLastColumn="0" w:lastRowFirstColumn="0" w:lastRowLastColumn="0"/>
            </w:pPr>
            <w:r>
              <w:t>- les associations formées par ces personnes</w:t>
            </w:r>
          </w:p>
          <w:p w14:paraId="60311B96" w14:textId="77777777" w:rsidR="008462E2" w:rsidRPr="008462E2" w:rsidRDefault="008462E2" w:rsidP="00F9263E">
            <w:pPr>
              <w:jc w:val="left"/>
              <w:cnfStyle w:val="000000100000" w:firstRow="0" w:lastRow="0" w:firstColumn="0" w:lastColumn="0" w:oddVBand="0" w:evenVBand="0" w:oddHBand="1" w:evenHBand="0" w:firstRowFirstColumn="0" w:firstRowLastColumn="0" w:lastRowFirstColumn="0" w:lastRowLastColumn="0"/>
              <w:rPr>
                <w:u w:val="single"/>
              </w:rPr>
            </w:pPr>
            <w:proofErr w:type="gramStart"/>
            <w:r w:rsidRPr="008462E2">
              <w:rPr>
                <w:u w:val="single"/>
              </w:rPr>
              <w:t>et</w:t>
            </w:r>
            <w:proofErr w:type="gramEnd"/>
            <w:r w:rsidRPr="008462E2">
              <w:rPr>
                <w:u w:val="single"/>
              </w:rPr>
              <w:t xml:space="preserve"> entités adjudicatrices :</w:t>
            </w:r>
          </w:p>
          <w:p w14:paraId="56FC3131" w14:textId="77777777" w:rsidR="001507E5" w:rsidRDefault="001507E5" w:rsidP="00F9263E">
            <w:pPr>
              <w:jc w:val="left"/>
              <w:cnfStyle w:val="000000100000" w:firstRow="0" w:lastRow="0" w:firstColumn="0" w:lastColumn="0" w:oddVBand="0" w:evenVBand="0" w:oddHBand="1" w:evenHBand="0" w:firstRowFirstColumn="0" w:firstRowLastColumn="0" w:lastRowFirstColumn="0" w:lastRowLastColumn="0"/>
            </w:pPr>
            <w:r>
              <w:t>- les entités adjudicatrices</w:t>
            </w:r>
          </w:p>
        </w:tc>
        <w:tc>
          <w:tcPr>
            <w:tcW w:w="2303" w:type="dxa"/>
            <w:tcBorders>
              <w:top w:val="single" w:sz="4" w:space="0" w:color="auto"/>
              <w:bottom w:val="single" w:sz="4" w:space="0" w:color="auto"/>
              <w:right w:val="single" w:sz="4" w:space="0" w:color="auto"/>
            </w:tcBorders>
            <w:shd w:val="clear" w:color="auto" w:fill="C6D9F1" w:themeFill="text2" w:themeFillTint="33"/>
          </w:tcPr>
          <w:p w14:paraId="23F80DA1" w14:textId="77777777" w:rsidR="001507E5" w:rsidRDefault="008D63B5" w:rsidP="00F9263E">
            <w:pPr>
              <w:jc w:val="left"/>
              <w:cnfStyle w:val="000000100000" w:firstRow="0" w:lastRow="0" w:firstColumn="0" w:lastColumn="0" w:oddVBand="0" w:evenVBand="0" w:oddHBand="1" w:evenHBand="0" w:firstRowFirstColumn="0" w:firstRowLastColumn="0" w:lastRowFirstColumn="0" w:lastRowLastColumn="0"/>
            </w:pPr>
            <w:r>
              <w:t xml:space="preserve">Les collectivités locales et leurs établissements publics sont des </w:t>
            </w:r>
            <w:r w:rsidR="00486DDF">
              <w:t>acheteurs</w:t>
            </w:r>
            <w:r>
              <w:t xml:space="preserve"> qui entrent dans la caté</w:t>
            </w:r>
            <w:r w:rsidR="00364D04">
              <w:t>gorie des « acheteurs publics ».</w:t>
            </w:r>
          </w:p>
        </w:tc>
      </w:tr>
      <w:tr w:rsidR="00CC0466" w14:paraId="581BED99" w14:textId="77777777" w:rsidTr="00F9263E">
        <w:tc>
          <w:tcPr>
            <w:cnfStyle w:val="001000000000" w:firstRow="0" w:lastRow="0" w:firstColumn="1" w:lastColumn="0" w:oddVBand="0" w:evenVBand="0" w:oddHBand="0" w:evenHBand="0" w:firstRowFirstColumn="0" w:firstRowLastColumn="0" w:lastRowFirstColumn="0" w:lastRowLastColumn="0"/>
            <w:tcW w:w="2302" w:type="dxa"/>
            <w:tcBorders>
              <w:top w:val="single" w:sz="4" w:space="0" w:color="auto"/>
              <w:left w:val="single" w:sz="4" w:space="0" w:color="auto"/>
              <w:bottom w:val="single" w:sz="4" w:space="0" w:color="auto"/>
            </w:tcBorders>
            <w:shd w:val="clear" w:color="auto" w:fill="FABF8F" w:themeFill="accent6" w:themeFillTint="99"/>
          </w:tcPr>
          <w:p w14:paraId="01E949C7" w14:textId="77777777" w:rsidR="00CC0466" w:rsidRDefault="008D63B5" w:rsidP="00F9263E">
            <w:pPr>
              <w:jc w:val="left"/>
            </w:pPr>
            <w:r>
              <w:t>Natures des m</w:t>
            </w:r>
            <w:r w:rsidR="00CC0466">
              <w:t>archés publics</w:t>
            </w:r>
          </w:p>
        </w:tc>
        <w:tc>
          <w:tcPr>
            <w:tcW w:w="2302" w:type="dxa"/>
            <w:tcBorders>
              <w:top w:val="single" w:sz="4" w:space="0" w:color="auto"/>
              <w:bottom w:val="single" w:sz="4" w:space="0" w:color="auto"/>
            </w:tcBorders>
            <w:shd w:val="clear" w:color="auto" w:fill="D9D9D9" w:themeFill="background1" w:themeFillShade="D9"/>
          </w:tcPr>
          <w:p w14:paraId="6DBFFD6E" w14:textId="77777777" w:rsidR="00CC0466" w:rsidRDefault="008D63B5" w:rsidP="00F9263E">
            <w:pPr>
              <w:jc w:val="left"/>
              <w:cnfStyle w:val="000000000000" w:firstRow="0" w:lastRow="0" w:firstColumn="0" w:lastColumn="0" w:oddVBand="0" w:evenVBand="0" w:oddHBand="0" w:evenHBand="0" w:firstRowFirstColumn="0" w:firstRowLastColumn="0" w:lastRowFirstColumn="0" w:lastRowLastColumn="0"/>
            </w:pPr>
            <w:r>
              <w:t>Article 1</w:t>
            </w:r>
            <w:r w:rsidRPr="008D63B5">
              <w:rPr>
                <w:vertAlign w:val="superscript"/>
              </w:rPr>
              <w:t>er</w:t>
            </w:r>
            <w:r>
              <w:t xml:space="preserve"> CMP</w:t>
            </w:r>
          </w:p>
        </w:tc>
        <w:tc>
          <w:tcPr>
            <w:tcW w:w="2303" w:type="dxa"/>
            <w:tcBorders>
              <w:top w:val="single" w:sz="4" w:space="0" w:color="auto"/>
              <w:bottom w:val="single" w:sz="4" w:space="0" w:color="auto"/>
            </w:tcBorders>
            <w:shd w:val="clear" w:color="auto" w:fill="FFFFFF" w:themeFill="background1"/>
          </w:tcPr>
          <w:p w14:paraId="796A5042" w14:textId="77777777" w:rsidR="00CC0466" w:rsidRDefault="009357FA" w:rsidP="00F9263E">
            <w:pPr>
              <w:jc w:val="left"/>
              <w:cnfStyle w:val="000000000000" w:firstRow="0" w:lastRow="0" w:firstColumn="0" w:lastColumn="0" w:oddVBand="0" w:evenVBand="0" w:oddHBand="0" w:evenHBand="0" w:firstRowFirstColumn="0" w:firstRowLastColumn="0" w:lastRowFirstColumn="0" w:lastRowLastColumn="0"/>
            </w:pPr>
            <w:r>
              <w:t xml:space="preserve">Article 4 comprends les accords-cadres. Les contrats de partenariat deviennent des marchés de partenariat et donc des marchés publics. </w:t>
            </w:r>
          </w:p>
        </w:tc>
        <w:tc>
          <w:tcPr>
            <w:tcW w:w="2303" w:type="dxa"/>
            <w:tcBorders>
              <w:top w:val="single" w:sz="4" w:space="0" w:color="auto"/>
              <w:bottom w:val="single" w:sz="4" w:space="0" w:color="auto"/>
              <w:right w:val="single" w:sz="4" w:space="0" w:color="auto"/>
            </w:tcBorders>
            <w:shd w:val="clear" w:color="auto" w:fill="C6D9F1" w:themeFill="text2" w:themeFillTint="33"/>
          </w:tcPr>
          <w:p w14:paraId="7E95E916" w14:textId="77777777" w:rsidR="00CC0466" w:rsidRDefault="00CC0466" w:rsidP="00F9263E">
            <w:pPr>
              <w:jc w:val="left"/>
              <w:cnfStyle w:val="000000000000" w:firstRow="0" w:lastRow="0" w:firstColumn="0" w:lastColumn="0" w:oddVBand="0" w:evenVBand="0" w:oddHBand="0" w:evenHBand="0" w:firstRowFirstColumn="0" w:firstRowLastColumn="0" w:lastRowFirstColumn="0" w:lastRowLastColumn="0"/>
            </w:pPr>
          </w:p>
        </w:tc>
      </w:tr>
      <w:tr w:rsidR="00CC0466" w14:paraId="09CB4428" w14:textId="77777777" w:rsidTr="00F92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Borders>
              <w:top w:val="single" w:sz="4" w:space="0" w:color="auto"/>
              <w:left w:val="single" w:sz="4" w:space="0" w:color="auto"/>
              <w:bottom w:val="single" w:sz="4" w:space="0" w:color="auto"/>
            </w:tcBorders>
            <w:shd w:val="clear" w:color="auto" w:fill="FABF8F" w:themeFill="accent6" w:themeFillTint="99"/>
          </w:tcPr>
          <w:p w14:paraId="4276E31E" w14:textId="77777777" w:rsidR="00CC0466" w:rsidRDefault="00AF3AB5" w:rsidP="00F9263E">
            <w:pPr>
              <w:jc w:val="left"/>
            </w:pPr>
            <w:r>
              <w:t>Accords-cadres</w:t>
            </w:r>
          </w:p>
        </w:tc>
        <w:tc>
          <w:tcPr>
            <w:tcW w:w="2302" w:type="dxa"/>
            <w:tcBorders>
              <w:top w:val="single" w:sz="4" w:space="0" w:color="auto"/>
              <w:bottom w:val="single" w:sz="4" w:space="0" w:color="auto"/>
            </w:tcBorders>
            <w:shd w:val="clear" w:color="auto" w:fill="D9D9D9" w:themeFill="background1" w:themeFillShade="D9"/>
          </w:tcPr>
          <w:p w14:paraId="65F3DC40" w14:textId="77777777" w:rsidR="00CC0466" w:rsidRDefault="00AF3AB5" w:rsidP="00F9263E">
            <w:pPr>
              <w:jc w:val="left"/>
              <w:cnfStyle w:val="000000100000" w:firstRow="0" w:lastRow="0" w:firstColumn="0" w:lastColumn="0" w:oddVBand="0" w:evenVBand="0" w:oddHBand="1" w:evenHBand="0" w:firstRowFirstColumn="0" w:firstRowLastColumn="0" w:lastRowFirstColumn="0" w:lastRowLastColumn="0"/>
            </w:pPr>
            <w:r>
              <w:t>Articles 76 et 77 CMP</w:t>
            </w:r>
          </w:p>
        </w:tc>
        <w:tc>
          <w:tcPr>
            <w:tcW w:w="2303" w:type="dxa"/>
            <w:tcBorders>
              <w:top w:val="single" w:sz="4" w:space="0" w:color="auto"/>
              <w:bottom w:val="single" w:sz="4" w:space="0" w:color="auto"/>
            </w:tcBorders>
            <w:shd w:val="clear" w:color="auto" w:fill="FFFFFF" w:themeFill="background1"/>
          </w:tcPr>
          <w:p w14:paraId="575561BC" w14:textId="77777777" w:rsidR="00CC0466" w:rsidRDefault="00AF3AB5" w:rsidP="00F9263E">
            <w:pPr>
              <w:jc w:val="left"/>
              <w:cnfStyle w:val="000000100000" w:firstRow="0" w:lastRow="0" w:firstColumn="0" w:lastColumn="0" w:oddVBand="0" w:evenVBand="0" w:oddHBand="1" w:evenHBand="0" w:firstRowFirstColumn="0" w:firstRowLastColumn="0" w:lastRowFirstColumn="0" w:lastRowLastColumn="0"/>
            </w:pPr>
            <w:r>
              <w:t>Article 78, 79, 80 du décret</w:t>
            </w:r>
            <w:r w:rsidR="00364D04">
              <w:t>.</w:t>
            </w:r>
          </w:p>
        </w:tc>
        <w:tc>
          <w:tcPr>
            <w:tcW w:w="2303" w:type="dxa"/>
            <w:tcBorders>
              <w:top w:val="single" w:sz="4" w:space="0" w:color="auto"/>
              <w:bottom w:val="single" w:sz="4" w:space="0" w:color="auto"/>
              <w:right w:val="single" w:sz="4" w:space="0" w:color="auto"/>
            </w:tcBorders>
            <w:shd w:val="clear" w:color="auto" w:fill="C6D9F1" w:themeFill="text2" w:themeFillTint="33"/>
          </w:tcPr>
          <w:p w14:paraId="01934503" w14:textId="77777777" w:rsidR="00CC0466" w:rsidRDefault="00AF3AB5" w:rsidP="00F9263E">
            <w:pPr>
              <w:jc w:val="left"/>
              <w:cnfStyle w:val="000000100000" w:firstRow="0" w:lastRow="0" w:firstColumn="0" w:lastColumn="0" w:oddVBand="0" w:evenVBand="0" w:oddHBand="1" w:evenHBand="0" w:firstRowFirstColumn="0" w:firstRowLastColumn="0" w:lastRowFirstColumn="0" w:lastRowLastColumn="0"/>
            </w:pPr>
            <w:r>
              <w:t xml:space="preserve">Les marchés à bon de commande deviennent des accords-cadres à bon de commande. L’accord-cadre constitue désormais une catégorie juridique unique. </w:t>
            </w:r>
          </w:p>
        </w:tc>
      </w:tr>
      <w:tr w:rsidR="00C2673A" w14:paraId="355C1699" w14:textId="77777777" w:rsidTr="00F9263E">
        <w:tc>
          <w:tcPr>
            <w:cnfStyle w:val="001000000000" w:firstRow="0" w:lastRow="0" w:firstColumn="1" w:lastColumn="0" w:oddVBand="0" w:evenVBand="0" w:oddHBand="0" w:evenHBand="0" w:firstRowFirstColumn="0" w:firstRowLastColumn="0" w:lastRowFirstColumn="0" w:lastRowLastColumn="0"/>
            <w:tcW w:w="2302" w:type="dxa"/>
            <w:tcBorders>
              <w:top w:val="single" w:sz="4" w:space="0" w:color="auto"/>
              <w:left w:val="single" w:sz="4" w:space="0" w:color="auto"/>
              <w:bottom w:val="single" w:sz="4" w:space="0" w:color="auto"/>
            </w:tcBorders>
            <w:shd w:val="clear" w:color="auto" w:fill="FABF8F" w:themeFill="accent6" w:themeFillTint="99"/>
          </w:tcPr>
          <w:p w14:paraId="5602719F" w14:textId="77777777" w:rsidR="00C2673A" w:rsidRDefault="00C2673A" w:rsidP="00F9263E">
            <w:pPr>
              <w:jc w:val="left"/>
            </w:pPr>
            <w:r>
              <w:t>Contrats « in house »</w:t>
            </w:r>
          </w:p>
        </w:tc>
        <w:tc>
          <w:tcPr>
            <w:tcW w:w="2302" w:type="dxa"/>
            <w:tcBorders>
              <w:top w:val="single" w:sz="4" w:space="0" w:color="auto"/>
              <w:bottom w:val="single" w:sz="4" w:space="0" w:color="auto"/>
            </w:tcBorders>
            <w:shd w:val="clear" w:color="auto" w:fill="D9D9D9" w:themeFill="background1" w:themeFillShade="D9"/>
          </w:tcPr>
          <w:p w14:paraId="36CDC3DB" w14:textId="77777777" w:rsidR="00C2673A" w:rsidRDefault="00C2673A" w:rsidP="00F9263E">
            <w:pPr>
              <w:jc w:val="left"/>
              <w:cnfStyle w:val="000000000000" w:firstRow="0" w:lastRow="0" w:firstColumn="0" w:lastColumn="0" w:oddVBand="0" w:evenVBand="0" w:oddHBand="0" w:evenHBand="0" w:firstRowFirstColumn="0" w:firstRowLastColumn="0" w:lastRowFirstColumn="0" w:lastRowLastColumn="0"/>
            </w:pPr>
            <w:r>
              <w:t>Article 3 CMP</w:t>
            </w:r>
          </w:p>
        </w:tc>
        <w:tc>
          <w:tcPr>
            <w:tcW w:w="2303" w:type="dxa"/>
            <w:tcBorders>
              <w:top w:val="single" w:sz="4" w:space="0" w:color="auto"/>
              <w:bottom w:val="single" w:sz="4" w:space="0" w:color="auto"/>
            </w:tcBorders>
            <w:shd w:val="clear" w:color="auto" w:fill="FFFFFF" w:themeFill="background1"/>
          </w:tcPr>
          <w:p w14:paraId="0EDF77B0" w14:textId="77777777" w:rsidR="00C2673A" w:rsidRDefault="00C2673A" w:rsidP="00F9263E">
            <w:pPr>
              <w:jc w:val="left"/>
              <w:cnfStyle w:val="000000000000" w:firstRow="0" w:lastRow="0" w:firstColumn="0" w:lastColumn="0" w:oddVBand="0" w:evenVBand="0" w:oddHBand="0" w:evenHBand="0" w:firstRowFirstColumn="0" w:firstRowLastColumn="0" w:lastRowFirstColumn="0" w:lastRowLastColumn="0"/>
            </w:pPr>
            <w:r>
              <w:t>Article 17 de l’ordonnance</w:t>
            </w:r>
            <w:r w:rsidR="00364D04">
              <w:t>.</w:t>
            </w:r>
          </w:p>
        </w:tc>
        <w:tc>
          <w:tcPr>
            <w:tcW w:w="2303" w:type="dxa"/>
            <w:tcBorders>
              <w:top w:val="single" w:sz="4" w:space="0" w:color="auto"/>
              <w:bottom w:val="single" w:sz="4" w:space="0" w:color="auto"/>
              <w:right w:val="single" w:sz="4" w:space="0" w:color="auto"/>
            </w:tcBorders>
            <w:shd w:val="clear" w:color="auto" w:fill="C6D9F1" w:themeFill="text2" w:themeFillTint="33"/>
          </w:tcPr>
          <w:p w14:paraId="2DFF4739" w14:textId="77777777" w:rsidR="00C2673A" w:rsidRDefault="00C2673A" w:rsidP="00F9263E">
            <w:pPr>
              <w:jc w:val="left"/>
              <w:cnfStyle w:val="000000000000" w:firstRow="0" w:lastRow="0" w:firstColumn="0" w:lastColumn="0" w:oddVBand="0" w:evenVBand="0" w:oddHBand="0" w:evenHBand="0" w:firstRowFirstColumn="0" w:firstRowLastColumn="0" w:lastRowFirstColumn="0" w:lastRowLastColumn="0"/>
            </w:pPr>
            <w:r>
              <w:t>Modifications des critères de définition</w:t>
            </w:r>
            <w:r w:rsidR="00364D04">
              <w:t>.</w:t>
            </w:r>
          </w:p>
        </w:tc>
      </w:tr>
      <w:tr w:rsidR="00CC0466" w14:paraId="26C1C1C5" w14:textId="77777777" w:rsidTr="00F92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Borders>
              <w:top w:val="single" w:sz="4" w:space="0" w:color="auto"/>
              <w:left w:val="single" w:sz="4" w:space="0" w:color="auto"/>
            </w:tcBorders>
            <w:shd w:val="clear" w:color="auto" w:fill="FABF8F" w:themeFill="accent6" w:themeFillTint="99"/>
          </w:tcPr>
          <w:p w14:paraId="28DBAA99" w14:textId="77777777" w:rsidR="00CC0466" w:rsidRDefault="00C2673A" w:rsidP="00F9263E">
            <w:pPr>
              <w:jc w:val="left"/>
            </w:pPr>
            <w:r>
              <w:t>Marchés mixtes</w:t>
            </w:r>
          </w:p>
        </w:tc>
        <w:tc>
          <w:tcPr>
            <w:tcW w:w="2302" w:type="dxa"/>
            <w:tcBorders>
              <w:top w:val="single" w:sz="4" w:space="0" w:color="auto"/>
              <w:bottom w:val="nil"/>
            </w:tcBorders>
            <w:shd w:val="clear" w:color="auto" w:fill="D9D9D9" w:themeFill="background1" w:themeFillShade="D9"/>
          </w:tcPr>
          <w:p w14:paraId="0E2C8035" w14:textId="77777777" w:rsidR="00CC0466" w:rsidRDefault="00C2673A" w:rsidP="00F9263E">
            <w:pPr>
              <w:jc w:val="left"/>
              <w:cnfStyle w:val="000000100000" w:firstRow="0" w:lastRow="0" w:firstColumn="0" w:lastColumn="0" w:oddVBand="0" w:evenVBand="0" w:oddHBand="1" w:evenHBand="0" w:firstRowFirstColumn="0" w:firstRowLastColumn="0" w:lastRowFirstColumn="0" w:lastRowLastColumn="0"/>
            </w:pPr>
            <w:r>
              <w:t>Nouveau</w:t>
            </w:r>
          </w:p>
        </w:tc>
        <w:tc>
          <w:tcPr>
            <w:tcW w:w="2303" w:type="dxa"/>
            <w:tcBorders>
              <w:top w:val="single" w:sz="4" w:space="0" w:color="auto"/>
              <w:bottom w:val="nil"/>
            </w:tcBorders>
            <w:shd w:val="clear" w:color="auto" w:fill="FFFFFF" w:themeFill="background1"/>
          </w:tcPr>
          <w:p w14:paraId="5C3F35D0" w14:textId="77777777" w:rsidR="00CC0466" w:rsidRDefault="00C2673A" w:rsidP="00F9263E">
            <w:pPr>
              <w:jc w:val="left"/>
              <w:cnfStyle w:val="000000100000" w:firstRow="0" w:lastRow="0" w:firstColumn="0" w:lastColumn="0" w:oddVBand="0" w:evenVBand="0" w:oddHBand="1" w:evenHBand="0" w:firstRowFirstColumn="0" w:firstRowLastColumn="0" w:lastRowFirstColumn="0" w:lastRowLastColumn="0"/>
            </w:pPr>
            <w:r>
              <w:t>Article 18 de l’ordonnance</w:t>
            </w:r>
          </w:p>
        </w:tc>
        <w:tc>
          <w:tcPr>
            <w:tcW w:w="2303" w:type="dxa"/>
            <w:tcBorders>
              <w:top w:val="single" w:sz="4" w:space="0" w:color="auto"/>
              <w:bottom w:val="nil"/>
              <w:right w:val="single" w:sz="4" w:space="0" w:color="auto"/>
            </w:tcBorders>
            <w:shd w:val="clear" w:color="auto" w:fill="C6D9F1" w:themeFill="text2" w:themeFillTint="33"/>
          </w:tcPr>
          <w:p w14:paraId="00004E20" w14:textId="77777777" w:rsidR="00CC0466" w:rsidRDefault="00CC0466" w:rsidP="00F9263E">
            <w:pPr>
              <w:jc w:val="left"/>
              <w:cnfStyle w:val="000000100000" w:firstRow="0" w:lastRow="0" w:firstColumn="0" w:lastColumn="0" w:oddVBand="0" w:evenVBand="0" w:oddHBand="1" w:evenHBand="0" w:firstRowFirstColumn="0" w:firstRowLastColumn="0" w:lastRowFirstColumn="0" w:lastRowLastColumn="0"/>
            </w:pPr>
          </w:p>
        </w:tc>
      </w:tr>
      <w:tr w:rsidR="00C2673A" w14:paraId="5F09F769" w14:textId="77777777" w:rsidTr="00F9263E">
        <w:tc>
          <w:tcPr>
            <w:cnfStyle w:val="001000000000" w:firstRow="0" w:lastRow="0" w:firstColumn="1" w:lastColumn="0" w:oddVBand="0" w:evenVBand="0" w:oddHBand="0" w:evenHBand="0" w:firstRowFirstColumn="0" w:firstRowLastColumn="0" w:lastRowFirstColumn="0" w:lastRowLastColumn="0"/>
            <w:tcW w:w="2302" w:type="dxa"/>
            <w:tcBorders>
              <w:left w:val="single" w:sz="4" w:space="0" w:color="auto"/>
              <w:bottom w:val="single" w:sz="4" w:space="0" w:color="auto"/>
            </w:tcBorders>
            <w:shd w:val="clear" w:color="auto" w:fill="FABF8F" w:themeFill="accent6" w:themeFillTint="99"/>
          </w:tcPr>
          <w:p w14:paraId="7233797B" w14:textId="77777777" w:rsidR="00C2673A" w:rsidRDefault="00C2673A" w:rsidP="00F9263E">
            <w:pPr>
              <w:jc w:val="left"/>
            </w:pPr>
            <w:r>
              <w:t>Consultation préalable des besoins</w:t>
            </w:r>
          </w:p>
        </w:tc>
        <w:tc>
          <w:tcPr>
            <w:tcW w:w="2302" w:type="dxa"/>
            <w:tcBorders>
              <w:top w:val="nil"/>
              <w:bottom w:val="single" w:sz="4" w:space="0" w:color="auto"/>
            </w:tcBorders>
            <w:shd w:val="clear" w:color="auto" w:fill="D9D9D9" w:themeFill="background1" w:themeFillShade="D9"/>
          </w:tcPr>
          <w:p w14:paraId="3BC86649" w14:textId="77777777" w:rsidR="00C2673A" w:rsidRDefault="00C2673A" w:rsidP="00F9263E">
            <w:pPr>
              <w:jc w:val="left"/>
              <w:cnfStyle w:val="000000000000" w:firstRow="0" w:lastRow="0" w:firstColumn="0" w:lastColumn="0" w:oddVBand="0" w:evenVBand="0" w:oddHBand="0" w:evenHBand="0" w:firstRowFirstColumn="0" w:firstRowLastColumn="0" w:lastRowFirstColumn="0" w:lastRowLastColumn="0"/>
            </w:pPr>
            <w:r>
              <w:t>Nouveau</w:t>
            </w:r>
          </w:p>
        </w:tc>
        <w:tc>
          <w:tcPr>
            <w:tcW w:w="2303" w:type="dxa"/>
            <w:tcBorders>
              <w:top w:val="nil"/>
              <w:bottom w:val="single" w:sz="4" w:space="0" w:color="auto"/>
            </w:tcBorders>
            <w:shd w:val="clear" w:color="auto" w:fill="FFFFFF" w:themeFill="background1"/>
          </w:tcPr>
          <w:p w14:paraId="1208C914" w14:textId="77777777" w:rsidR="00C2673A" w:rsidRDefault="00C2673A" w:rsidP="00F9263E">
            <w:pPr>
              <w:jc w:val="left"/>
              <w:cnfStyle w:val="000000000000" w:firstRow="0" w:lastRow="0" w:firstColumn="0" w:lastColumn="0" w:oddVBand="0" w:evenVBand="0" w:oddHBand="0" w:evenHBand="0" w:firstRowFirstColumn="0" w:firstRowLastColumn="0" w:lastRowFirstColumn="0" w:lastRowLastColumn="0"/>
            </w:pPr>
            <w:r>
              <w:t>Article 4 du décret</w:t>
            </w:r>
            <w:r w:rsidR="00364D04">
              <w:t>.</w:t>
            </w:r>
          </w:p>
        </w:tc>
        <w:tc>
          <w:tcPr>
            <w:tcW w:w="2303" w:type="dxa"/>
            <w:tcBorders>
              <w:top w:val="nil"/>
              <w:bottom w:val="single" w:sz="4" w:space="0" w:color="auto"/>
              <w:right w:val="single" w:sz="4" w:space="0" w:color="auto"/>
            </w:tcBorders>
            <w:shd w:val="clear" w:color="auto" w:fill="C6D9F1" w:themeFill="text2" w:themeFillTint="33"/>
          </w:tcPr>
          <w:p w14:paraId="7616AD79" w14:textId="77777777" w:rsidR="00C2673A" w:rsidRDefault="00C2673A" w:rsidP="00F9263E">
            <w:pPr>
              <w:jc w:val="left"/>
              <w:cnfStyle w:val="000000000000" w:firstRow="0" w:lastRow="0" w:firstColumn="0" w:lastColumn="0" w:oddVBand="0" w:evenVBand="0" w:oddHBand="0" w:evenHBand="0" w:firstRowFirstColumn="0" w:firstRowLastColumn="0" w:lastRowFirstColumn="0" w:lastRowLastColumn="0"/>
            </w:pPr>
            <w:proofErr w:type="spellStart"/>
            <w:r>
              <w:t>Sourcing</w:t>
            </w:r>
            <w:proofErr w:type="spellEnd"/>
            <w:r>
              <w:t xml:space="preserve"> pour préparer le marché</w:t>
            </w:r>
            <w:r w:rsidR="00364D04">
              <w:t>.</w:t>
            </w:r>
          </w:p>
        </w:tc>
      </w:tr>
      <w:tr w:rsidR="00C2673A" w14:paraId="2F943BE1" w14:textId="77777777" w:rsidTr="00F92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Borders>
              <w:top w:val="single" w:sz="4" w:space="0" w:color="auto"/>
              <w:left w:val="single" w:sz="4" w:space="0" w:color="auto"/>
              <w:bottom w:val="single" w:sz="4" w:space="0" w:color="auto"/>
            </w:tcBorders>
            <w:shd w:val="clear" w:color="auto" w:fill="FABF8F" w:themeFill="accent6" w:themeFillTint="99"/>
          </w:tcPr>
          <w:p w14:paraId="1C656C1C" w14:textId="77777777" w:rsidR="00C2673A" w:rsidRDefault="00C2673A" w:rsidP="00F9263E">
            <w:pPr>
              <w:jc w:val="left"/>
            </w:pPr>
            <w:r>
              <w:lastRenderedPageBreak/>
              <w:t>Allotissement</w:t>
            </w:r>
          </w:p>
        </w:tc>
        <w:tc>
          <w:tcPr>
            <w:tcW w:w="2302" w:type="dxa"/>
            <w:tcBorders>
              <w:top w:val="single" w:sz="4" w:space="0" w:color="auto"/>
              <w:bottom w:val="single" w:sz="4" w:space="0" w:color="auto"/>
            </w:tcBorders>
            <w:shd w:val="clear" w:color="auto" w:fill="D9D9D9" w:themeFill="background1" w:themeFillShade="D9"/>
          </w:tcPr>
          <w:p w14:paraId="79F13666" w14:textId="77777777" w:rsidR="00C2673A" w:rsidRDefault="00C2673A" w:rsidP="00F9263E">
            <w:pPr>
              <w:jc w:val="left"/>
              <w:cnfStyle w:val="000000100000" w:firstRow="0" w:lastRow="0" w:firstColumn="0" w:lastColumn="0" w:oddVBand="0" w:evenVBand="0" w:oddHBand="1" w:evenHBand="0" w:firstRowFirstColumn="0" w:firstRowLastColumn="0" w:lastRowFirstColumn="0" w:lastRowLastColumn="0"/>
            </w:pPr>
            <w:r>
              <w:t>Article 10 CMP</w:t>
            </w:r>
          </w:p>
        </w:tc>
        <w:tc>
          <w:tcPr>
            <w:tcW w:w="2303" w:type="dxa"/>
            <w:tcBorders>
              <w:top w:val="single" w:sz="4" w:space="0" w:color="auto"/>
              <w:bottom w:val="single" w:sz="4" w:space="0" w:color="auto"/>
            </w:tcBorders>
            <w:shd w:val="clear" w:color="auto" w:fill="FFFFFF" w:themeFill="background1"/>
          </w:tcPr>
          <w:p w14:paraId="35C0EB27" w14:textId="77777777" w:rsidR="00C2673A" w:rsidRDefault="00C2673A" w:rsidP="00F9263E">
            <w:pPr>
              <w:jc w:val="left"/>
              <w:cnfStyle w:val="000000100000" w:firstRow="0" w:lastRow="0" w:firstColumn="0" w:lastColumn="0" w:oddVBand="0" w:evenVBand="0" w:oddHBand="1" w:evenHBand="0" w:firstRowFirstColumn="0" w:firstRowLastColumn="0" w:lastRowFirstColumn="0" w:lastRowLastColumn="0"/>
            </w:pPr>
            <w:r>
              <w:t>Article 32 de l’ordonnance et article 12 du décret</w:t>
            </w:r>
            <w:r w:rsidR="00364D04">
              <w:t>.</w:t>
            </w:r>
          </w:p>
        </w:tc>
        <w:tc>
          <w:tcPr>
            <w:tcW w:w="2303" w:type="dxa"/>
            <w:tcBorders>
              <w:top w:val="single" w:sz="4" w:space="0" w:color="auto"/>
              <w:bottom w:val="single" w:sz="4" w:space="0" w:color="auto"/>
              <w:right w:val="single" w:sz="4" w:space="0" w:color="auto"/>
            </w:tcBorders>
            <w:shd w:val="clear" w:color="auto" w:fill="C6D9F1" w:themeFill="text2" w:themeFillTint="33"/>
          </w:tcPr>
          <w:p w14:paraId="450A1A00" w14:textId="77777777" w:rsidR="00C2673A" w:rsidRDefault="00C2673A" w:rsidP="00F9263E">
            <w:pPr>
              <w:jc w:val="left"/>
              <w:cnfStyle w:val="000000100000" w:firstRow="0" w:lastRow="0" w:firstColumn="0" w:lastColumn="0" w:oddVBand="0" w:evenVBand="0" w:oddHBand="1" w:evenHBand="0" w:firstRowFirstColumn="0" w:firstRowLastColumn="0" w:lastRowFirstColumn="0" w:lastRowLastColumn="0"/>
            </w:pPr>
            <w:r>
              <w:t>Obligation de motivation du non-allotissement.</w:t>
            </w:r>
          </w:p>
        </w:tc>
      </w:tr>
      <w:tr w:rsidR="00C2673A" w14:paraId="2161FF16" w14:textId="77777777" w:rsidTr="00F9263E">
        <w:tc>
          <w:tcPr>
            <w:cnfStyle w:val="001000000000" w:firstRow="0" w:lastRow="0" w:firstColumn="1" w:lastColumn="0" w:oddVBand="0" w:evenVBand="0" w:oddHBand="0" w:evenHBand="0" w:firstRowFirstColumn="0" w:firstRowLastColumn="0" w:lastRowFirstColumn="0" w:lastRowLastColumn="0"/>
            <w:tcW w:w="2302" w:type="dxa"/>
            <w:tcBorders>
              <w:top w:val="single" w:sz="4" w:space="0" w:color="auto"/>
              <w:left w:val="single" w:sz="4" w:space="0" w:color="auto"/>
              <w:bottom w:val="single" w:sz="4" w:space="0" w:color="auto"/>
            </w:tcBorders>
            <w:shd w:val="clear" w:color="auto" w:fill="FABF8F" w:themeFill="accent6" w:themeFillTint="99"/>
          </w:tcPr>
          <w:p w14:paraId="64CA0452" w14:textId="77777777" w:rsidR="00C2673A" w:rsidRDefault="00C2673A" w:rsidP="00F9263E">
            <w:pPr>
              <w:jc w:val="left"/>
            </w:pPr>
            <w:r>
              <w:t>Dématérialisation</w:t>
            </w:r>
          </w:p>
        </w:tc>
        <w:tc>
          <w:tcPr>
            <w:tcW w:w="2302" w:type="dxa"/>
            <w:tcBorders>
              <w:top w:val="single" w:sz="4" w:space="0" w:color="auto"/>
              <w:bottom w:val="single" w:sz="4" w:space="0" w:color="auto"/>
            </w:tcBorders>
            <w:shd w:val="clear" w:color="auto" w:fill="D9D9D9" w:themeFill="background1" w:themeFillShade="D9"/>
          </w:tcPr>
          <w:p w14:paraId="3514B8F9" w14:textId="77777777" w:rsidR="00C2673A" w:rsidRDefault="00C2673A" w:rsidP="00F9263E">
            <w:pPr>
              <w:jc w:val="left"/>
              <w:cnfStyle w:val="000000000000" w:firstRow="0" w:lastRow="0" w:firstColumn="0" w:lastColumn="0" w:oddVBand="0" w:evenVBand="0" w:oddHBand="0" w:evenHBand="0" w:firstRowFirstColumn="0" w:firstRowLastColumn="0" w:lastRowFirstColumn="0" w:lastRowLastColumn="0"/>
            </w:pPr>
            <w:r>
              <w:t>Article 56 CMP</w:t>
            </w:r>
          </w:p>
        </w:tc>
        <w:tc>
          <w:tcPr>
            <w:tcW w:w="2303" w:type="dxa"/>
            <w:tcBorders>
              <w:top w:val="single" w:sz="4" w:space="0" w:color="auto"/>
              <w:bottom w:val="single" w:sz="4" w:space="0" w:color="auto"/>
            </w:tcBorders>
            <w:shd w:val="clear" w:color="auto" w:fill="FFFFFF" w:themeFill="background1"/>
          </w:tcPr>
          <w:p w14:paraId="7708F39B" w14:textId="77777777" w:rsidR="00C2673A" w:rsidRDefault="00C2673A" w:rsidP="00F9263E">
            <w:pPr>
              <w:jc w:val="left"/>
              <w:cnfStyle w:val="000000000000" w:firstRow="0" w:lastRow="0" w:firstColumn="0" w:lastColumn="0" w:oddVBand="0" w:evenVBand="0" w:oddHBand="0" w:evenHBand="0" w:firstRowFirstColumn="0" w:firstRowLastColumn="0" w:lastRowFirstColumn="0" w:lastRowLastColumn="0"/>
            </w:pPr>
            <w:r>
              <w:t>Article 43 de l’ordonnance</w:t>
            </w:r>
            <w:r w:rsidR="00364D04">
              <w:t>.</w:t>
            </w:r>
          </w:p>
        </w:tc>
        <w:tc>
          <w:tcPr>
            <w:tcW w:w="2303" w:type="dxa"/>
            <w:tcBorders>
              <w:top w:val="single" w:sz="4" w:space="0" w:color="auto"/>
              <w:bottom w:val="single" w:sz="4" w:space="0" w:color="auto"/>
              <w:right w:val="single" w:sz="4" w:space="0" w:color="auto"/>
            </w:tcBorders>
            <w:shd w:val="clear" w:color="auto" w:fill="C6D9F1" w:themeFill="text2" w:themeFillTint="33"/>
          </w:tcPr>
          <w:p w14:paraId="2D7688A1" w14:textId="77777777" w:rsidR="00C2673A" w:rsidRDefault="00C2673A" w:rsidP="00F9263E">
            <w:pPr>
              <w:jc w:val="left"/>
              <w:cnfStyle w:val="000000000000" w:firstRow="0" w:lastRow="0" w:firstColumn="0" w:lastColumn="0" w:oddVBand="0" w:evenVBand="0" w:oddHBand="0" w:evenHBand="0" w:firstRowFirstColumn="0" w:firstRowLastColumn="0" w:lastRowFirstColumn="0" w:lastRowLastColumn="0"/>
            </w:pPr>
            <w:r>
              <w:t>Mise à disposition obligatoire des documents de la consultation sur le profil acheteur pour la passation des marchés &gt; 90.000 euros HT</w:t>
            </w:r>
          </w:p>
          <w:p w14:paraId="37646420" w14:textId="77777777" w:rsidR="00C2673A" w:rsidRDefault="00C2673A" w:rsidP="00F9263E">
            <w:pPr>
              <w:jc w:val="left"/>
              <w:cnfStyle w:val="000000000000" w:firstRow="0" w:lastRow="0" w:firstColumn="0" w:lastColumn="0" w:oddVBand="0" w:evenVBand="0" w:oddHBand="0" w:evenHBand="0" w:firstRowFirstColumn="0" w:firstRowLastColumn="0" w:lastRowFirstColumn="0" w:lastRowLastColumn="0"/>
            </w:pPr>
            <w:r>
              <w:t>Passage à la dématérialisation totale à compter du 1 er octobre 2018.</w:t>
            </w:r>
          </w:p>
        </w:tc>
      </w:tr>
      <w:tr w:rsidR="00F9263E" w14:paraId="341AE628" w14:textId="77777777" w:rsidTr="00F92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Borders>
              <w:top w:val="single" w:sz="4" w:space="0" w:color="auto"/>
              <w:left w:val="single" w:sz="4" w:space="0" w:color="auto"/>
              <w:bottom w:val="single" w:sz="4" w:space="0" w:color="auto"/>
            </w:tcBorders>
            <w:shd w:val="clear" w:color="auto" w:fill="FABF8F" w:themeFill="accent6" w:themeFillTint="99"/>
          </w:tcPr>
          <w:p w14:paraId="4783B234" w14:textId="77777777" w:rsidR="00F9263E" w:rsidRDefault="00F9263E" w:rsidP="00F9263E">
            <w:pPr>
              <w:jc w:val="left"/>
            </w:pPr>
            <w:r>
              <w:t>Documents justificatifs</w:t>
            </w:r>
          </w:p>
        </w:tc>
        <w:tc>
          <w:tcPr>
            <w:tcW w:w="2302" w:type="dxa"/>
            <w:tcBorders>
              <w:top w:val="single" w:sz="4" w:space="0" w:color="auto"/>
              <w:bottom w:val="single" w:sz="4" w:space="0" w:color="auto"/>
            </w:tcBorders>
            <w:shd w:val="clear" w:color="auto" w:fill="D9D9D9" w:themeFill="background1" w:themeFillShade="D9"/>
          </w:tcPr>
          <w:p w14:paraId="22584C1C" w14:textId="77777777" w:rsidR="00F9263E" w:rsidRDefault="00F9263E" w:rsidP="00F9263E">
            <w:pPr>
              <w:jc w:val="left"/>
              <w:cnfStyle w:val="000000100000" w:firstRow="0" w:lastRow="0" w:firstColumn="0" w:lastColumn="0" w:oddVBand="0" w:evenVBand="0" w:oddHBand="1" w:evenHBand="0" w:firstRowFirstColumn="0" w:firstRowLastColumn="0" w:lastRowFirstColumn="0" w:lastRowLastColumn="0"/>
            </w:pPr>
            <w:r>
              <w:t>Article 45 du CMP</w:t>
            </w:r>
          </w:p>
        </w:tc>
        <w:tc>
          <w:tcPr>
            <w:tcW w:w="2303" w:type="dxa"/>
            <w:tcBorders>
              <w:top w:val="single" w:sz="4" w:space="0" w:color="auto"/>
              <w:bottom w:val="single" w:sz="4" w:space="0" w:color="auto"/>
            </w:tcBorders>
            <w:shd w:val="clear" w:color="auto" w:fill="FFFFFF" w:themeFill="background1"/>
          </w:tcPr>
          <w:p w14:paraId="306C9222" w14:textId="77777777" w:rsidR="00F9263E" w:rsidRDefault="00F9263E" w:rsidP="00F9263E">
            <w:pPr>
              <w:jc w:val="left"/>
              <w:cnfStyle w:val="000000100000" w:firstRow="0" w:lastRow="0" w:firstColumn="0" w:lastColumn="0" w:oddVBand="0" w:evenVBand="0" w:oddHBand="1" w:evenHBand="0" w:firstRowFirstColumn="0" w:firstRowLastColumn="0" w:lastRowFirstColumn="0" w:lastRowLastColumn="0"/>
            </w:pPr>
            <w:r>
              <w:t>Article 50, 51, 52, 53 et 54 du décret + arrêté du 29 mars 2016 fixant la liste des renseignements et des documents pouvant être demandés aux candidats</w:t>
            </w:r>
            <w:r w:rsidR="00364D04">
              <w:t>.</w:t>
            </w:r>
          </w:p>
        </w:tc>
        <w:tc>
          <w:tcPr>
            <w:tcW w:w="2303" w:type="dxa"/>
            <w:tcBorders>
              <w:top w:val="single" w:sz="4" w:space="0" w:color="auto"/>
              <w:bottom w:val="single" w:sz="4" w:space="0" w:color="auto"/>
              <w:right w:val="single" w:sz="4" w:space="0" w:color="auto"/>
            </w:tcBorders>
            <w:shd w:val="clear" w:color="auto" w:fill="C6D9F1" w:themeFill="text2" w:themeFillTint="33"/>
          </w:tcPr>
          <w:p w14:paraId="502EF286" w14:textId="77777777" w:rsidR="00F9263E" w:rsidRDefault="00F9263E" w:rsidP="00F9263E">
            <w:pPr>
              <w:jc w:val="left"/>
              <w:cnfStyle w:val="000000100000" w:firstRow="0" w:lastRow="0" w:firstColumn="0" w:lastColumn="0" w:oddVBand="0" w:evenVBand="0" w:oddHBand="1" w:evenHBand="0" w:firstRowFirstColumn="0" w:firstRowLastColumn="0" w:lastRowFirstColumn="0" w:lastRowLastColumn="0"/>
            </w:pPr>
            <w:r>
              <w:t xml:space="preserve">Pas d’obligation pour les opérateurs de fournir les justificatifs que l’acheteur peut obtenir directement. </w:t>
            </w:r>
          </w:p>
        </w:tc>
      </w:tr>
      <w:tr w:rsidR="00AF3AB5" w14:paraId="3951A51B" w14:textId="77777777" w:rsidTr="00F9263E">
        <w:tc>
          <w:tcPr>
            <w:cnfStyle w:val="001000000000" w:firstRow="0" w:lastRow="0" w:firstColumn="1" w:lastColumn="0" w:oddVBand="0" w:evenVBand="0" w:oddHBand="0" w:evenHBand="0" w:firstRowFirstColumn="0" w:firstRowLastColumn="0" w:lastRowFirstColumn="0" w:lastRowLastColumn="0"/>
            <w:tcW w:w="2302" w:type="dxa"/>
            <w:tcBorders>
              <w:top w:val="single" w:sz="4" w:space="0" w:color="auto"/>
              <w:left w:val="single" w:sz="4" w:space="0" w:color="auto"/>
              <w:bottom w:val="single" w:sz="4" w:space="0" w:color="auto"/>
            </w:tcBorders>
            <w:shd w:val="clear" w:color="auto" w:fill="FABF8F" w:themeFill="accent6" w:themeFillTint="99"/>
          </w:tcPr>
          <w:p w14:paraId="06FC6074" w14:textId="77777777" w:rsidR="00AF3AB5" w:rsidRDefault="00AF3AB5" w:rsidP="00F9263E">
            <w:pPr>
              <w:jc w:val="left"/>
            </w:pPr>
            <w:r>
              <w:t>Accès aux données essentielles</w:t>
            </w:r>
          </w:p>
        </w:tc>
        <w:tc>
          <w:tcPr>
            <w:tcW w:w="2302" w:type="dxa"/>
            <w:tcBorders>
              <w:top w:val="single" w:sz="4" w:space="0" w:color="auto"/>
              <w:bottom w:val="single" w:sz="4" w:space="0" w:color="auto"/>
            </w:tcBorders>
            <w:shd w:val="clear" w:color="auto" w:fill="D9D9D9" w:themeFill="background1" w:themeFillShade="D9"/>
          </w:tcPr>
          <w:p w14:paraId="1B0D0667" w14:textId="77777777" w:rsidR="00AF3AB5" w:rsidRDefault="00AF3AB5" w:rsidP="00F9263E">
            <w:pPr>
              <w:jc w:val="left"/>
              <w:cnfStyle w:val="000000000000" w:firstRow="0" w:lastRow="0" w:firstColumn="0" w:lastColumn="0" w:oddVBand="0" w:evenVBand="0" w:oddHBand="0" w:evenHBand="0" w:firstRowFirstColumn="0" w:firstRowLastColumn="0" w:lastRowFirstColumn="0" w:lastRowLastColumn="0"/>
            </w:pPr>
            <w:r>
              <w:t>Nouveau</w:t>
            </w:r>
          </w:p>
        </w:tc>
        <w:tc>
          <w:tcPr>
            <w:tcW w:w="2303" w:type="dxa"/>
            <w:tcBorders>
              <w:top w:val="single" w:sz="4" w:space="0" w:color="auto"/>
              <w:bottom w:val="single" w:sz="4" w:space="0" w:color="auto"/>
            </w:tcBorders>
            <w:shd w:val="clear" w:color="auto" w:fill="FFFFFF" w:themeFill="background1"/>
          </w:tcPr>
          <w:p w14:paraId="5DBB631A" w14:textId="77777777" w:rsidR="00AF3AB5" w:rsidRDefault="00AF3AB5" w:rsidP="00F9263E">
            <w:pPr>
              <w:jc w:val="left"/>
              <w:cnfStyle w:val="000000000000" w:firstRow="0" w:lastRow="0" w:firstColumn="0" w:lastColumn="0" w:oddVBand="0" w:evenVBand="0" w:oddHBand="0" w:evenHBand="0" w:firstRowFirstColumn="0" w:firstRowLastColumn="0" w:lastRowFirstColumn="0" w:lastRowLastColumn="0"/>
            </w:pPr>
            <w:r>
              <w:t>Article 56 de l’ordonnance</w:t>
            </w:r>
            <w:r w:rsidR="00364D04">
              <w:t>.</w:t>
            </w:r>
          </w:p>
        </w:tc>
        <w:tc>
          <w:tcPr>
            <w:tcW w:w="2303" w:type="dxa"/>
            <w:tcBorders>
              <w:top w:val="single" w:sz="4" w:space="0" w:color="auto"/>
              <w:bottom w:val="single" w:sz="4" w:space="0" w:color="auto"/>
              <w:right w:val="single" w:sz="4" w:space="0" w:color="auto"/>
            </w:tcBorders>
            <w:shd w:val="clear" w:color="auto" w:fill="C6D9F1" w:themeFill="text2" w:themeFillTint="33"/>
          </w:tcPr>
          <w:p w14:paraId="78D5B36F" w14:textId="77777777" w:rsidR="00AF3AB5" w:rsidRDefault="00AF3AB5" w:rsidP="00F9263E">
            <w:pPr>
              <w:jc w:val="left"/>
              <w:cnfStyle w:val="000000000000" w:firstRow="0" w:lastRow="0" w:firstColumn="0" w:lastColumn="0" w:oddVBand="0" w:evenVBand="0" w:oddHBand="0" w:evenHBand="0" w:firstRowFirstColumn="0" w:firstRowLastColumn="0" w:lastRowFirstColumn="0" w:lastRowLastColumn="0"/>
            </w:pPr>
            <w:r>
              <w:t>Mise en place de l’open data au plus tard le 1</w:t>
            </w:r>
            <w:r w:rsidRPr="00AF3AB5">
              <w:rPr>
                <w:vertAlign w:val="superscript"/>
              </w:rPr>
              <w:t>er</w:t>
            </w:r>
            <w:r>
              <w:t xml:space="preserve"> avril 2018 (</w:t>
            </w:r>
            <w:proofErr w:type="spellStart"/>
            <w:r>
              <w:t>y.c</w:t>
            </w:r>
            <w:proofErr w:type="spellEnd"/>
            <w:r>
              <w:t xml:space="preserve"> les MAPA</w:t>
            </w:r>
            <w:r w:rsidR="008462E2">
              <w:rPr>
                <w:rStyle w:val="Appelnotedebasdep"/>
              </w:rPr>
              <w:footnoteReference w:id="35"/>
            </w:r>
            <w:r>
              <w:t>)</w:t>
            </w:r>
          </w:p>
        </w:tc>
      </w:tr>
      <w:tr w:rsidR="00AF3AB5" w14:paraId="37A59F82" w14:textId="77777777" w:rsidTr="00F926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Borders>
              <w:top w:val="single" w:sz="4" w:space="0" w:color="auto"/>
              <w:left w:val="single" w:sz="4" w:space="0" w:color="auto"/>
              <w:bottom w:val="single" w:sz="4" w:space="0" w:color="auto"/>
            </w:tcBorders>
            <w:shd w:val="clear" w:color="auto" w:fill="FABF8F" w:themeFill="accent6" w:themeFillTint="99"/>
          </w:tcPr>
          <w:p w14:paraId="0C37D959" w14:textId="77777777" w:rsidR="00AF3AB5" w:rsidRDefault="00AF3AB5" w:rsidP="00F9263E">
            <w:pPr>
              <w:jc w:val="left"/>
            </w:pPr>
            <w:r>
              <w:t>Archivage</w:t>
            </w:r>
          </w:p>
        </w:tc>
        <w:tc>
          <w:tcPr>
            <w:tcW w:w="2302" w:type="dxa"/>
            <w:tcBorders>
              <w:top w:val="single" w:sz="4" w:space="0" w:color="auto"/>
              <w:bottom w:val="single" w:sz="4" w:space="0" w:color="auto"/>
            </w:tcBorders>
            <w:shd w:val="clear" w:color="auto" w:fill="D9D9D9" w:themeFill="background1" w:themeFillShade="D9"/>
          </w:tcPr>
          <w:p w14:paraId="5599EB52" w14:textId="77777777" w:rsidR="00AF3AB5" w:rsidRDefault="00AF3AB5" w:rsidP="00F9263E">
            <w:pPr>
              <w:jc w:val="left"/>
              <w:cnfStyle w:val="000000100000" w:firstRow="0" w:lastRow="0" w:firstColumn="0" w:lastColumn="0" w:oddVBand="0" w:evenVBand="0" w:oddHBand="1" w:evenHBand="0" w:firstRowFirstColumn="0" w:firstRowLastColumn="0" w:lastRowFirstColumn="0" w:lastRowLastColumn="0"/>
            </w:pPr>
            <w:r>
              <w:t>Nouveau</w:t>
            </w:r>
          </w:p>
        </w:tc>
        <w:tc>
          <w:tcPr>
            <w:tcW w:w="2303" w:type="dxa"/>
            <w:tcBorders>
              <w:top w:val="single" w:sz="4" w:space="0" w:color="auto"/>
              <w:bottom w:val="single" w:sz="4" w:space="0" w:color="auto"/>
            </w:tcBorders>
            <w:shd w:val="clear" w:color="auto" w:fill="FFFFFF" w:themeFill="background1"/>
          </w:tcPr>
          <w:p w14:paraId="0CE58747" w14:textId="77777777" w:rsidR="00AF3AB5" w:rsidRDefault="00AF3AB5" w:rsidP="00F9263E">
            <w:pPr>
              <w:jc w:val="left"/>
              <w:cnfStyle w:val="000000100000" w:firstRow="0" w:lastRow="0" w:firstColumn="0" w:lastColumn="0" w:oddVBand="0" w:evenVBand="0" w:oddHBand="1" w:evenHBand="0" w:firstRowFirstColumn="0" w:firstRowLastColumn="0" w:lastRowFirstColumn="0" w:lastRowLastColumn="0"/>
            </w:pPr>
            <w:r>
              <w:t>Article 57 de l’ordonnance et article 108 du décret</w:t>
            </w:r>
            <w:r w:rsidR="00364D04">
              <w:t>.</w:t>
            </w:r>
          </w:p>
        </w:tc>
        <w:tc>
          <w:tcPr>
            <w:tcW w:w="2303" w:type="dxa"/>
            <w:tcBorders>
              <w:top w:val="single" w:sz="4" w:space="0" w:color="auto"/>
              <w:bottom w:val="single" w:sz="4" w:space="0" w:color="auto"/>
              <w:right w:val="single" w:sz="4" w:space="0" w:color="auto"/>
            </w:tcBorders>
            <w:shd w:val="clear" w:color="auto" w:fill="C6D9F1" w:themeFill="text2" w:themeFillTint="33"/>
          </w:tcPr>
          <w:p w14:paraId="5C836424" w14:textId="77777777" w:rsidR="00AF3AB5" w:rsidRDefault="00AF3AB5" w:rsidP="00F9263E">
            <w:pPr>
              <w:jc w:val="left"/>
              <w:cnfStyle w:val="000000100000" w:firstRow="0" w:lastRow="0" w:firstColumn="0" w:lastColumn="0" w:oddVBand="0" w:evenVBand="0" w:oddHBand="1" w:evenHBand="0" w:firstRowFirstColumn="0" w:firstRowLastColumn="0" w:lastRowFirstColumn="0" w:lastRowLastColumn="0"/>
            </w:pPr>
            <w:r>
              <w:t xml:space="preserve">Durées de conservation des candidatures, offres et pièces constitutives du marché. </w:t>
            </w:r>
          </w:p>
        </w:tc>
      </w:tr>
      <w:tr w:rsidR="00486280" w14:paraId="035F74D9" w14:textId="77777777" w:rsidTr="00F9263E">
        <w:tc>
          <w:tcPr>
            <w:cnfStyle w:val="001000000000" w:firstRow="0" w:lastRow="0" w:firstColumn="1" w:lastColumn="0" w:oddVBand="0" w:evenVBand="0" w:oddHBand="0" w:evenHBand="0" w:firstRowFirstColumn="0" w:firstRowLastColumn="0" w:lastRowFirstColumn="0" w:lastRowLastColumn="0"/>
            <w:tcW w:w="2302" w:type="dxa"/>
            <w:tcBorders>
              <w:top w:val="single" w:sz="4" w:space="0" w:color="auto"/>
              <w:left w:val="single" w:sz="4" w:space="0" w:color="auto"/>
              <w:bottom w:val="single" w:sz="4" w:space="0" w:color="auto"/>
            </w:tcBorders>
            <w:shd w:val="clear" w:color="auto" w:fill="FABF8F" w:themeFill="accent6" w:themeFillTint="99"/>
          </w:tcPr>
          <w:p w14:paraId="67E4FD50" w14:textId="77777777" w:rsidR="00486280" w:rsidRDefault="00486280" w:rsidP="00F9263E">
            <w:pPr>
              <w:jc w:val="left"/>
            </w:pPr>
            <w:r>
              <w:t>Modification des marchés</w:t>
            </w:r>
          </w:p>
        </w:tc>
        <w:tc>
          <w:tcPr>
            <w:tcW w:w="2302" w:type="dxa"/>
            <w:tcBorders>
              <w:top w:val="single" w:sz="4" w:space="0" w:color="auto"/>
              <w:bottom w:val="single" w:sz="4" w:space="0" w:color="auto"/>
            </w:tcBorders>
            <w:shd w:val="clear" w:color="auto" w:fill="D9D9D9" w:themeFill="background1" w:themeFillShade="D9"/>
          </w:tcPr>
          <w:p w14:paraId="56D6E404" w14:textId="77777777" w:rsidR="00486280" w:rsidRDefault="00486280" w:rsidP="00F9263E">
            <w:pPr>
              <w:jc w:val="left"/>
              <w:cnfStyle w:val="000000000000" w:firstRow="0" w:lastRow="0" w:firstColumn="0" w:lastColumn="0" w:oddVBand="0" w:evenVBand="0" w:oddHBand="0" w:evenHBand="0" w:firstRowFirstColumn="0" w:firstRowLastColumn="0" w:lastRowFirstColumn="0" w:lastRowLastColumn="0"/>
            </w:pPr>
            <w:r>
              <w:t>Article 20 et 118 du CMP</w:t>
            </w:r>
          </w:p>
        </w:tc>
        <w:tc>
          <w:tcPr>
            <w:tcW w:w="2303" w:type="dxa"/>
            <w:tcBorders>
              <w:top w:val="single" w:sz="4" w:space="0" w:color="auto"/>
              <w:bottom w:val="single" w:sz="4" w:space="0" w:color="auto"/>
            </w:tcBorders>
            <w:shd w:val="clear" w:color="auto" w:fill="FFFFFF" w:themeFill="background1"/>
          </w:tcPr>
          <w:p w14:paraId="0CF65442" w14:textId="77777777" w:rsidR="00486280" w:rsidRDefault="00486280" w:rsidP="00F9263E">
            <w:pPr>
              <w:jc w:val="left"/>
              <w:cnfStyle w:val="000000000000" w:firstRow="0" w:lastRow="0" w:firstColumn="0" w:lastColumn="0" w:oddVBand="0" w:evenVBand="0" w:oddHBand="0" w:evenHBand="0" w:firstRowFirstColumn="0" w:firstRowLastColumn="0" w:lastRowFirstColumn="0" w:lastRowLastColumn="0"/>
            </w:pPr>
            <w:r>
              <w:t>Article 65 de l’ordonnance et 139 et 140 du décret</w:t>
            </w:r>
            <w:r w:rsidR="00364D04">
              <w:t>.</w:t>
            </w:r>
          </w:p>
        </w:tc>
        <w:tc>
          <w:tcPr>
            <w:tcW w:w="2303" w:type="dxa"/>
            <w:tcBorders>
              <w:top w:val="single" w:sz="4" w:space="0" w:color="auto"/>
              <w:bottom w:val="single" w:sz="4" w:space="0" w:color="auto"/>
              <w:right w:val="single" w:sz="4" w:space="0" w:color="auto"/>
            </w:tcBorders>
            <w:shd w:val="clear" w:color="auto" w:fill="C6D9F1" w:themeFill="text2" w:themeFillTint="33"/>
          </w:tcPr>
          <w:p w14:paraId="610B238B" w14:textId="77777777" w:rsidR="00486280" w:rsidRDefault="00486280" w:rsidP="00F9263E">
            <w:pPr>
              <w:jc w:val="left"/>
              <w:cnfStyle w:val="000000000000" w:firstRow="0" w:lastRow="0" w:firstColumn="0" w:lastColumn="0" w:oddVBand="0" w:evenVBand="0" w:oddHBand="0" w:evenHBand="0" w:firstRowFirstColumn="0" w:firstRowLastColumn="0" w:lastRowFirstColumn="0" w:lastRowLastColumn="0"/>
            </w:pPr>
            <w:r>
              <w:t xml:space="preserve">Refonte des avenants. Ouverture des possibilités. </w:t>
            </w:r>
          </w:p>
        </w:tc>
      </w:tr>
    </w:tbl>
    <w:p w14:paraId="00126B26" w14:textId="77777777" w:rsidR="0034650A" w:rsidRDefault="0034650A" w:rsidP="008A578D"/>
    <w:p w14:paraId="5DA53AC3" w14:textId="77777777" w:rsidR="008A578D" w:rsidRDefault="008A578D" w:rsidP="008A578D">
      <w:pPr>
        <w:pStyle w:val="Titre1"/>
        <w:numPr>
          <w:ilvl w:val="0"/>
          <w:numId w:val="1"/>
        </w:numPr>
        <w:ind w:left="426"/>
      </w:pPr>
      <w:r>
        <w:t>Points de vigilance</w:t>
      </w:r>
    </w:p>
    <w:p w14:paraId="26CC4041" w14:textId="77777777" w:rsidR="008A578D" w:rsidRDefault="008A578D" w:rsidP="008A578D"/>
    <w:p w14:paraId="04C9D6EF" w14:textId="77777777" w:rsidR="008A578D" w:rsidRDefault="008A578D" w:rsidP="008A578D">
      <w:pPr>
        <w:ind w:left="360"/>
        <w:rPr>
          <w:b/>
        </w:rPr>
      </w:pPr>
    </w:p>
    <w:p w14:paraId="4E472FB8" w14:textId="77777777" w:rsidR="008A578D" w:rsidRDefault="008605B6" w:rsidP="00364D04">
      <w:pPr>
        <w:pStyle w:val="Paragraphedeliste"/>
        <w:numPr>
          <w:ilvl w:val="0"/>
          <w:numId w:val="13"/>
        </w:numPr>
        <w:spacing w:after="200" w:line="276" w:lineRule="auto"/>
        <w:jc w:val="both"/>
        <w:rPr>
          <w:b/>
        </w:rPr>
      </w:pPr>
      <w:r>
        <w:rPr>
          <w:b/>
        </w:rPr>
        <w:t xml:space="preserve">Marchés publics </w:t>
      </w:r>
      <w:r w:rsidR="00C76512">
        <w:rPr>
          <w:b/>
        </w:rPr>
        <w:t>et aides</w:t>
      </w:r>
      <w:r>
        <w:rPr>
          <w:b/>
        </w:rPr>
        <w:t xml:space="preserve"> d’Etat</w:t>
      </w:r>
      <w:r w:rsidR="00044155">
        <w:rPr>
          <w:rStyle w:val="Appelnotedebasdep"/>
          <w:b/>
        </w:rPr>
        <w:footnoteReference w:id="36"/>
      </w:r>
    </w:p>
    <w:p w14:paraId="1BFE75B8" w14:textId="77777777" w:rsidR="008A578D" w:rsidRDefault="008A578D" w:rsidP="00364D04">
      <w:pPr>
        <w:pStyle w:val="Paragraphedeliste"/>
        <w:jc w:val="both"/>
        <w:rPr>
          <w:b/>
        </w:rPr>
      </w:pPr>
    </w:p>
    <w:p w14:paraId="0BF6DF73" w14:textId="77777777" w:rsidR="00044155" w:rsidRPr="00044155" w:rsidRDefault="00044155" w:rsidP="00364D04">
      <w:pPr>
        <w:spacing w:before="120"/>
        <w:rPr>
          <w:rFonts w:cs="Calibri"/>
          <w:szCs w:val="24"/>
          <w:lang w:eastAsia="fr-FR"/>
        </w:rPr>
      </w:pPr>
      <w:r w:rsidRPr="00044155">
        <w:rPr>
          <w:rFonts w:cs="Calibri"/>
          <w:szCs w:val="24"/>
          <w:lang w:eastAsia="fr-FR"/>
        </w:rPr>
        <w:t>L’organisation d’une procédure de passation d’un marché public ou d’un contrat de concession, ouverte, transparente et non discriminatoire conforme aux directives 2014/24/UE, 2014/25/UE  et 2014/23/UE du 26 février 2014 satisfait, au respect du 4</w:t>
      </w:r>
      <w:r w:rsidRPr="00044155">
        <w:rPr>
          <w:rFonts w:cs="Calibri"/>
          <w:szCs w:val="24"/>
          <w:vertAlign w:val="superscript"/>
          <w:lang w:eastAsia="fr-FR"/>
        </w:rPr>
        <w:t>ème</w:t>
      </w:r>
      <w:r w:rsidRPr="00044155">
        <w:rPr>
          <w:rFonts w:cs="Calibri"/>
          <w:szCs w:val="24"/>
          <w:lang w:eastAsia="fr-FR"/>
        </w:rPr>
        <w:t xml:space="preserve"> critère de la jurisprudence </w:t>
      </w:r>
      <w:r w:rsidRPr="00044155">
        <w:rPr>
          <w:rFonts w:cs="Calibri"/>
          <w:i/>
          <w:szCs w:val="24"/>
          <w:lang w:eastAsia="fr-FR"/>
        </w:rPr>
        <w:t>Altmark</w:t>
      </w:r>
      <w:r w:rsidRPr="00044155">
        <w:rPr>
          <w:rFonts w:cs="Calibri"/>
          <w:szCs w:val="24"/>
          <w:lang w:eastAsia="fr-FR"/>
        </w:rPr>
        <w:t xml:space="preserve"> et permet, en principe, </w:t>
      </w:r>
      <w:r w:rsidRPr="00854DF4">
        <w:rPr>
          <w:rFonts w:cs="Calibri"/>
          <w:b/>
          <w:szCs w:val="24"/>
          <w:lang w:eastAsia="fr-FR"/>
        </w:rPr>
        <w:t>et à condition de respecter les 3 autres critères</w:t>
      </w:r>
      <w:r w:rsidR="00854DF4">
        <w:rPr>
          <w:rFonts w:cs="Calibri"/>
          <w:b/>
          <w:szCs w:val="24"/>
          <w:lang w:eastAsia="fr-FR"/>
        </w:rPr>
        <w:t xml:space="preserve"> </w:t>
      </w:r>
      <w:r w:rsidR="00854DF4" w:rsidRPr="00854DF4">
        <w:rPr>
          <w:rFonts w:cs="Calibri"/>
          <w:szCs w:val="24"/>
          <w:lang w:eastAsia="fr-FR"/>
        </w:rPr>
        <w:t>(obligations de service public clairement définies, compensation calculée de manière objective et transparente, la compensation ne saurait dépasser ce qui est nécessaire)</w:t>
      </w:r>
      <w:r w:rsidRPr="00044155">
        <w:rPr>
          <w:rStyle w:val="Appelnotedebasdep"/>
          <w:rFonts w:cs="Calibri"/>
          <w:szCs w:val="24"/>
          <w:lang w:eastAsia="fr-FR"/>
        </w:rPr>
        <w:footnoteReference w:id="37"/>
      </w:r>
      <w:r w:rsidRPr="00044155">
        <w:rPr>
          <w:rFonts w:cs="Calibri"/>
          <w:szCs w:val="24"/>
          <w:lang w:eastAsia="fr-FR"/>
        </w:rPr>
        <w:t xml:space="preserve">, d’être en dehors du champ d’application de la réglementation des aides d’Etat. </w:t>
      </w:r>
    </w:p>
    <w:p w14:paraId="18E6FCD2" w14:textId="77777777" w:rsidR="00044155" w:rsidRPr="00044155" w:rsidRDefault="00044155" w:rsidP="00364D04">
      <w:pPr>
        <w:spacing w:before="120"/>
        <w:rPr>
          <w:rFonts w:cs="Calibri"/>
          <w:szCs w:val="24"/>
          <w:lang w:eastAsia="fr-FR"/>
        </w:rPr>
      </w:pPr>
      <w:r w:rsidRPr="00044155">
        <w:rPr>
          <w:rFonts w:cs="Calibri"/>
          <w:szCs w:val="24"/>
          <w:lang w:eastAsia="fr-FR"/>
        </w:rPr>
        <w:lastRenderedPageBreak/>
        <w:t xml:space="preserve">En application de cette jurisprudence, les règles de la commande publique doivent respecter les principes fondamentaux du Traité « notamment des principes de transparence, d’égalité de traitement et de non-discrimination » pour permettre d’être en dehors du champ d’application de la réglementation des aides d’Etat. </w:t>
      </w:r>
    </w:p>
    <w:p w14:paraId="707DC70C" w14:textId="77777777" w:rsidR="00044155" w:rsidRPr="00044155" w:rsidRDefault="00044155" w:rsidP="00364D04">
      <w:pPr>
        <w:spacing w:before="120"/>
        <w:rPr>
          <w:rFonts w:cs="Calibri"/>
          <w:szCs w:val="24"/>
          <w:lang w:eastAsia="fr-FR"/>
        </w:rPr>
      </w:pPr>
      <w:r w:rsidRPr="00044155">
        <w:rPr>
          <w:rFonts w:cs="Calibri"/>
          <w:szCs w:val="24"/>
          <w:lang w:eastAsia="fr-FR"/>
        </w:rPr>
        <w:t xml:space="preserve">La procédure ouverte, transparente et non discriminatoire doit permettre l’établissement d’un prix de marché, lorsque cela est impossible, la présence d’une aide d’Etat au prestataire ne peut être écartée. </w:t>
      </w:r>
    </w:p>
    <w:p w14:paraId="244A117F" w14:textId="77777777" w:rsidR="00044155" w:rsidRPr="007D1DAA" w:rsidRDefault="00044155" w:rsidP="00364D04">
      <w:pPr>
        <w:spacing w:before="120"/>
        <w:rPr>
          <w:rFonts w:cs="Calibri"/>
          <w:color w:val="000000"/>
          <w:szCs w:val="24"/>
          <w:lang w:eastAsia="fr-FR"/>
        </w:rPr>
      </w:pPr>
      <w:r w:rsidRPr="007D1DAA">
        <w:rPr>
          <w:rFonts w:cs="Calibri"/>
          <w:color w:val="000000"/>
          <w:szCs w:val="24"/>
          <w:lang w:eastAsia="fr-FR"/>
        </w:rPr>
        <w:t xml:space="preserve">Afin de s’en assurer, </w:t>
      </w:r>
    </w:p>
    <w:p w14:paraId="488DEB9C" w14:textId="77777777" w:rsidR="00044155" w:rsidRPr="007D1DAA" w:rsidRDefault="00044155" w:rsidP="00364D04">
      <w:pPr>
        <w:numPr>
          <w:ilvl w:val="0"/>
          <w:numId w:val="29"/>
        </w:numPr>
        <w:spacing w:before="120" w:line="240" w:lineRule="auto"/>
        <w:rPr>
          <w:rFonts w:cs="Calibri"/>
          <w:color w:val="000000"/>
          <w:szCs w:val="24"/>
          <w:lang w:eastAsia="fr-FR"/>
        </w:rPr>
      </w:pPr>
      <w:proofErr w:type="gramStart"/>
      <w:r w:rsidRPr="007D1DAA">
        <w:rPr>
          <w:rFonts w:cs="Calibri"/>
          <w:color w:val="000000"/>
          <w:szCs w:val="24"/>
          <w:lang w:eastAsia="fr-FR"/>
        </w:rPr>
        <w:t>il</w:t>
      </w:r>
      <w:proofErr w:type="gramEnd"/>
      <w:r w:rsidRPr="007D1DAA">
        <w:rPr>
          <w:rFonts w:cs="Calibri"/>
          <w:color w:val="000000"/>
          <w:szCs w:val="24"/>
          <w:lang w:eastAsia="fr-FR"/>
        </w:rPr>
        <w:t xml:space="preserve"> convient de vérifier qu’une </w:t>
      </w:r>
      <w:r>
        <w:rPr>
          <w:rFonts w:cs="Calibri"/>
          <w:color w:val="000000"/>
          <w:szCs w:val="24"/>
          <w:lang w:eastAsia="fr-FR"/>
        </w:rPr>
        <w:t xml:space="preserve">procédure de mise en concurrence préalable et qu’une </w:t>
      </w:r>
      <w:r w:rsidRPr="007D1DAA">
        <w:rPr>
          <w:rFonts w:cs="Calibri"/>
          <w:color w:val="000000"/>
          <w:szCs w:val="24"/>
          <w:u w:val="single"/>
          <w:lang w:eastAsia="fr-FR"/>
        </w:rPr>
        <w:t>publicité adéquate</w:t>
      </w:r>
      <w:r w:rsidRPr="007D1DAA">
        <w:rPr>
          <w:rFonts w:cs="Calibri"/>
          <w:color w:val="000000"/>
          <w:szCs w:val="24"/>
          <w:lang w:eastAsia="fr-FR"/>
        </w:rPr>
        <w:t xml:space="preserve"> a</w:t>
      </w:r>
      <w:r>
        <w:rPr>
          <w:rFonts w:cs="Calibri"/>
          <w:color w:val="000000"/>
          <w:szCs w:val="24"/>
          <w:lang w:eastAsia="fr-FR"/>
        </w:rPr>
        <w:t>ient</w:t>
      </w:r>
      <w:r w:rsidRPr="007D1DAA">
        <w:rPr>
          <w:rFonts w:cs="Calibri"/>
          <w:color w:val="000000"/>
          <w:szCs w:val="24"/>
          <w:lang w:eastAsia="fr-FR"/>
        </w:rPr>
        <w:t xml:space="preserve"> été mise</w:t>
      </w:r>
      <w:r>
        <w:rPr>
          <w:rFonts w:cs="Calibri"/>
          <w:color w:val="000000"/>
          <w:szCs w:val="24"/>
          <w:lang w:eastAsia="fr-FR"/>
        </w:rPr>
        <w:t>s</w:t>
      </w:r>
      <w:r w:rsidRPr="007D1DAA">
        <w:rPr>
          <w:rFonts w:cs="Calibri"/>
          <w:color w:val="000000"/>
          <w:szCs w:val="24"/>
          <w:lang w:eastAsia="fr-FR"/>
        </w:rPr>
        <w:t xml:space="preserve"> en place afin de garantir l’application des principes fondamentaux du Traité</w:t>
      </w:r>
      <w:r>
        <w:t xml:space="preserve"> </w:t>
      </w:r>
      <w:r w:rsidRPr="002D7BBF">
        <w:rPr>
          <w:rFonts w:cs="Calibri"/>
          <w:color w:val="000000"/>
          <w:szCs w:val="24"/>
          <w:lang w:eastAsia="fr-FR"/>
        </w:rPr>
        <w:t>« notamment des principes de transparence, d’égalité de traitement et de non-discrimination »</w:t>
      </w:r>
      <w:r w:rsidRPr="007D1DAA">
        <w:rPr>
          <w:rFonts w:cs="Calibri"/>
          <w:color w:val="000000"/>
          <w:szCs w:val="24"/>
          <w:lang w:eastAsia="fr-FR"/>
        </w:rPr>
        <w:t xml:space="preserve">.  </w:t>
      </w:r>
    </w:p>
    <w:p w14:paraId="07949B8A" w14:textId="77777777" w:rsidR="00044155" w:rsidRPr="007D1DAA" w:rsidRDefault="00044155" w:rsidP="00364D04">
      <w:pPr>
        <w:numPr>
          <w:ilvl w:val="0"/>
          <w:numId w:val="29"/>
        </w:numPr>
        <w:spacing w:before="120" w:line="240" w:lineRule="auto"/>
        <w:rPr>
          <w:rFonts w:cs="Calibri"/>
          <w:color w:val="000000"/>
          <w:szCs w:val="24"/>
          <w:lang w:eastAsia="fr-FR"/>
        </w:rPr>
      </w:pPr>
      <w:r w:rsidRPr="007D1DAA">
        <w:rPr>
          <w:rFonts w:cs="Calibri"/>
          <w:color w:val="000000"/>
          <w:szCs w:val="24"/>
          <w:lang w:eastAsia="fr-FR"/>
        </w:rPr>
        <w:t xml:space="preserve">En ce sens, il est nécessaire que la procédure de marché </w:t>
      </w:r>
      <w:r>
        <w:rPr>
          <w:rFonts w:cs="Calibri"/>
          <w:color w:val="000000"/>
          <w:szCs w:val="24"/>
          <w:lang w:eastAsia="fr-FR"/>
        </w:rPr>
        <w:t xml:space="preserve">public ou de contrat de concession </w:t>
      </w:r>
      <w:r w:rsidRPr="007D1DAA">
        <w:rPr>
          <w:rFonts w:cs="Calibri"/>
          <w:color w:val="000000"/>
          <w:szCs w:val="24"/>
          <w:lang w:eastAsia="fr-FR"/>
        </w:rPr>
        <w:t xml:space="preserve">passée </w:t>
      </w:r>
      <w:r w:rsidRPr="007D1DAA">
        <w:rPr>
          <w:rFonts w:cs="Calibri"/>
          <w:color w:val="000000"/>
          <w:szCs w:val="24"/>
          <w:u w:val="single"/>
          <w:lang w:eastAsia="fr-FR"/>
        </w:rPr>
        <w:t>permette à plusieurs candidats de présenter une offre</w:t>
      </w:r>
      <w:r w:rsidRPr="007D1DAA">
        <w:rPr>
          <w:rFonts w:cs="Calibri"/>
          <w:color w:val="000000"/>
          <w:szCs w:val="24"/>
          <w:lang w:eastAsia="fr-FR"/>
        </w:rPr>
        <w:t xml:space="preserve">. </w:t>
      </w:r>
    </w:p>
    <w:p w14:paraId="6B1FA4C5" w14:textId="77777777" w:rsidR="00044155" w:rsidRDefault="00044155" w:rsidP="00364D04">
      <w:pPr>
        <w:numPr>
          <w:ilvl w:val="0"/>
          <w:numId w:val="29"/>
        </w:numPr>
        <w:spacing w:before="120" w:line="240" w:lineRule="auto"/>
        <w:rPr>
          <w:rFonts w:cs="Calibri"/>
          <w:color w:val="000000"/>
          <w:szCs w:val="24"/>
          <w:lang w:eastAsia="fr-FR"/>
        </w:rPr>
      </w:pPr>
      <w:r w:rsidRPr="007D1DAA">
        <w:rPr>
          <w:rFonts w:cs="Calibri"/>
          <w:color w:val="000000"/>
          <w:szCs w:val="24"/>
          <w:lang w:eastAsia="fr-FR"/>
        </w:rPr>
        <w:t xml:space="preserve">Ceci garantissant in-fine la sélection d’un </w:t>
      </w:r>
      <w:r w:rsidR="00C76512" w:rsidRPr="007D1DAA">
        <w:rPr>
          <w:rFonts w:cs="Calibri"/>
          <w:color w:val="000000"/>
          <w:szCs w:val="24"/>
          <w:lang w:eastAsia="fr-FR"/>
        </w:rPr>
        <w:t xml:space="preserve">candidat </w:t>
      </w:r>
      <w:r w:rsidR="00C76512">
        <w:rPr>
          <w:rFonts w:cs="Calibri"/>
          <w:color w:val="000000"/>
          <w:szCs w:val="24"/>
          <w:u w:val="single"/>
          <w:lang w:eastAsia="fr-FR"/>
        </w:rPr>
        <w:t>ayant</w:t>
      </w:r>
      <w:r>
        <w:rPr>
          <w:rFonts w:cs="Calibri"/>
          <w:color w:val="000000"/>
          <w:szCs w:val="24"/>
          <w:u w:val="single"/>
          <w:lang w:eastAsia="fr-FR"/>
        </w:rPr>
        <w:t xml:space="preserve"> présenté l’offre économiquement la plus avantageuse pour les marchés publics et la meilleure offre au regard de l’avantage économique global pour les contrats de concession</w:t>
      </w:r>
      <w:r w:rsidRPr="007D1DAA">
        <w:rPr>
          <w:rFonts w:cs="Calibri"/>
          <w:color w:val="000000"/>
          <w:szCs w:val="24"/>
          <w:lang w:eastAsia="fr-FR"/>
        </w:rPr>
        <w:t xml:space="preserve">. Si un seul candidat dépose une offre, </w:t>
      </w:r>
      <w:r>
        <w:rPr>
          <w:rFonts w:cs="Calibri"/>
          <w:color w:val="000000"/>
          <w:szCs w:val="24"/>
          <w:lang w:eastAsia="fr-FR"/>
        </w:rPr>
        <w:t>la réglementation des aides d’Etat devrait, en principe, s’appliquer</w:t>
      </w:r>
      <w:r w:rsidRPr="007D1DAA">
        <w:rPr>
          <w:rFonts w:cs="Calibri"/>
          <w:color w:val="000000"/>
          <w:szCs w:val="24"/>
          <w:lang w:eastAsia="fr-FR"/>
        </w:rPr>
        <w:t xml:space="preserve">.  </w:t>
      </w:r>
    </w:p>
    <w:p w14:paraId="3800F6C7" w14:textId="77777777" w:rsidR="00044155" w:rsidRPr="00044155" w:rsidRDefault="00044155" w:rsidP="00364D04">
      <w:pPr>
        <w:numPr>
          <w:ilvl w:val="0"/>
          <w:numId w:val="29"/>
        </w:numPr>
        <w:spacing w:before="120" w:line="240" w:lineRule="auto"/>
        <w:rPr>
          <w:rFonts w:cs="Calibri"/>
          <w:color w:val="000000"/>
          <w:szCs w:val="24"/>
          <w:lang w:eastAsia="fr-FR"/>
        </w:rPr>
      </w:pPr>
      <w:r w:rsidRPr="00044155">
        <w:rPr>
          <w:rFonts w:cs="Calibri"/>
          <w:color w:val="000000"/>
          <w:szCs w:val="24"/>
          <w:lang w:eastAsia="fr-FR"/>
        </w:rPr>
        <w:t>La Commission précise dans sa communication relative à la notion d’aide d’Etat que « le recours aux procédures prévues dans les directives sur les marchés publics et le respect de celles-ci peuvent être jugés suffisants pour satisfaire aux conditions susmentionnées, pour autant que toutes les conditions d'utilisation de la procédure applicable soient remplies. Cela ne s'applique pas dans les circonstances particulières qui rendent impossible l'établissement d'un prix du marché, telles que le recours à la procédure négociée sans publication d'un avis de marché. Si une seule offre est soumise, la procédure ne suffira normalement pas pour garantir un prix du marché, à moins: i) qu'il existe des mesures de sauvegarde particulièrement strictes lors de l'élaboration de la procédure, qui garantissent une concurrence réelle et effective, et qu'il n'apparaisse pas qu'un seul opérateur soit objectivement en mesure de présenter une offre crédible; ou ii) que les autorités publiques vérifient par des moyens supplémentaires que le résultat correspond au prix du marché » .</w:t>
      </w:r>
    </w:p>
    <w:p w14:paraId="180808A3" w14:textId="77777777" w:rsidR="00C71EC1" w:rsidRPr="00C71EC1" w:rsidRDefault="00044155" w:rsidP="00C71EC1">
      <w:pPr>
        <w:pStyle w:val="Paragraphedeliste"/>
        <w:ind w:left="0"/>
        <w:jc w:val="both"/>
      </w:pPr>
      <w:r w:rsidRPr="007D1DAA">
        <w:rPr>
          <w:rFonts w:cs="Calibri"/>
          <w:color w:val="000000"/>
          <w:szCs w:val="24"/>
        </w:rPr>
        <w:t>Dès lors</w:t>
      </w:r>
      <w:r>
        <w:rPr>
          <w:rFonts w:cs="Calibri"/>
          <w:color w:val="000000"/>
          <w:szCs w:val="24"/>
        </w:rPr>
        <w:t>, dans le cas des marchés publics</w:t>
      </w:r>
      <w:r w:rsidRPr="007D1DAA">
        <w:rPr>
          <w:rFonts w:cs="Calibri"/>
          <w:color w:val="000000"/>
          <w:szCs w:val="24"/>
        </w:rPr>
        <w:t xml:space="preserve">, on peut considérer que </w:t>
      </w:r>
      <w:r w:rsidRPr="007D1DAA">
        <w:rPr>
          <w:rFonts w:cs="Calibri"/>
          <w:b/>
          <w:color w:val="000000"/>
          <w:szCs w:val="24"/>
        </w:rPr>
        <w:t>les procédures ouvertes et les procédures restreintes</w:t>
      </w:r>
      <w:r w:rsidRPr="007D1DAA">
        <w:rPr>
          <w:rFonts w:cs="Calibri"/>
          <w:b/>
          <w:color w:val="000000"/>
          <w:szCs w:val="24"/>
          <w:vertAlign w:val="superscript"/>
        </w:rPr>
        <w:footnoteReference w:id="38"/>
      </w:r>
      <w:r w:rsidRPr="007D1DAA">
        <w:rPr>
          <w:rFonts w:cs="Calibri"/>
          <w:b/>
          <w:color w:val="000000"/>
          <w:szCs w:val="24"/>
        </w:rPr>
        <w:t xml:space="preserve"> </w:t>
      </w:r>
      <w:r>
        <w:rPr>
          <w:rFonts w:cs="Calibri"/>
          <w:color w:val="000000"/>
          <w:szCs w:val="24"/>
        </w:rPr>
        <w:t xml:space="preserve">des </w:t>
      </w:r>
      <w:r w:rsidRPr="00276D9C">
        <w:rPr>
          <w:rFonts w:cs="Calibri"/>
          <w:color w:val="000000"/>
          <w:szCs w:val="24"/>
        </w:rPr>
        <w:t>marchés publics</w:t>
      </w:r>
      <w:r>
        <w:rPr>
          <w:rFonts w:cs="Calibri"/>
          <w:b/>
          <w:color w:val="000000"/>
          <w:szCs w:val="24"/>
        </w:rPr>
        <w:t xml:space="preserve"> </w:t>
      </w:r>
      <w:r>
        <w:rPr>
          <w:rFonts w:cs="Calibri"/>
          <w:color w:val="000000"/>
          <w:szCs w:val="24"/>
        </w:rPr>
        <w:t>répondent au</w:t>
      </w:r>
      <w:r w:rsidRPr="00C33816">
        <w:rPr>
          <w:rFonts w:cs="Calibri"/>
          <w:color w:val="000000"/>
          <w:szCs w:val="24"/>
        </w:rPr>
        <w:t xml:space="preserve"> 4</w:t>
      </w:r>
      <w:r w:rsidRPr="00C33816">
        <w:rPr>
          <w:rFonts w:cs="Calibri"/>
          <w:color w:val="000000"/>
          <w:szCs w:val="24"/>
          <w:vertAlign w:val="superscript"/>
        </w:rPr>
        <w:t>ème</w:t>
      </w:r>
      <w:r w:rsidRPr="00C33816">
        <w:rPr>
          <w:rFonts w:cs="Calibri"/>
          <w:color w:val="000000"/>
          <w:szCs w:val="24"/>
        </w:rPr>
        <w:t xml:space="preserve"> critère posé par la jurisprudence</w:t>
      </w:r>
      <w:r w:rsidR="00C71EC1">
        <w:rPr>
          <w:rFonts w:cs="Calibri"/>
          <w:color w:val="000000"/>
          <w:szCs w:val="24"/>
        </w:rPr>
        <w:t>.</w:t>
      </w:r>
    </w:p>
    <w:p w14:paraId="07400E9D" w14:textId="77777777" w:rsidR="00044155" w:rsidRDefault="00044155" w:rsidP="00364D04"/>
    <w:p w14:paraId="3F7D55C2" w14:textId="77777777" w:rsidR="00B900E6" w:rsidRDefault="00E20A0A" w:rsidP="00364D04">
      <w:pPr>
        <w:pStyle w:val="Paragraphedeliste"/>
        <w:numPr>
          <w:ilvl w:val="0"/>
          <w:numId w:val="13"/>
        </w:numPr>
        <w:spacing w:after="200" w:line="276" w:lineRule="auto"/>
        <w:jc w:val="both"/>
        <w:rPr>
          <w:rFonts w:eastAsiaTheme="minorHAnsi" w:cstheme="minorBidi"/>
          <w:b/>
          <w:szCs w:val="22"/>
          <w:lang w:eastAsia="en-US"/>
        </w:rPr>
      </w:pPr>
      <w:r>
        <w:rPr>
          <w:rFonts w:eastAsiaTheme="minorHAnsi" w:cstheme="minorBidi"/>
          <w:b/>
          <w:szCs w:val="22"/>
          <w:lang w:eastAsia="en-US"/>
        </w:rPr>
        <w:t>Cas particulier de porteurs privés</w:t>
      </w:r>
    </w:p>
    <w:p w14:paraId="464FBA35" w14:textId="77777777" w:rsidR="00AE35C5" w:rsidRPr="00AE35C5" w:rsidRDefault="00AE35C5" w:rsidP="00364D04">
      <w:pPr>
        <w:spacing w:after="200"/>
      </w:pPr>
      <w:r w:rsidRPr="00AE35C5">
        <w:t xml:space="preserve">L’article 21 de l’ordonnance prévoit que les </w:t>
      </w:r>
      <w:r w:rsidR="00680E61">
        <w:t xml:space="preserve">contrats passés par des </w:t>
      </w:r>
      <w:r w:rsidRPr="00AE35C5">
        <w:t xml:space="preserve">personnes de droit privé non soumises au champ d’application de l’ordonnance du 23 juillet 2015 mais qui sont subventionnées directement à plus de 50 % par un pouvoir adjudicateur sont soumises aux dispositions de l’ordonnance applicables aux </w:t>
      </w:r>
      <w:r w:rsidR="00486DDF">
        <w:t>acheteurs</w:t>
      </w:r>
      <w:r w:rsidRPr="00AE35C5">
        <w:t>, à l’exception de ses articles 59 à 64, lorsque les conditions suivantes sont réunies :</w:t>
      </w:r>
    </w:p>
    <w:p w14:paraId="7BA76F13" w14:textId="77777777" w:rsidR="00AE35C5" w:rsidRPr="00AE35C5" w:rsidRDefault="00C76512" w:rsidP="00364D04">
      <w:pPr>
        <w:pStyle w:val="Paragraphedeliste"/>
        <w:numPr>
          <w:ilvl w:val="0"/>
          <w:numId w:val="32"/>
        </w:numPr>
        <w:spacing w:after="200"/>
        <w:jc w:val="both"/>
      </w:pPr>
      <w:r w:rsidRPr="00AE35C5">
        <w:t>La valeur</w:t>
      </w:r>
      <w:r w:rsidR="00AE35C5" w:rsidRPr="00AE35C5">
        <w:t xml:space="preserve"> estimée hors taxe du besoin/contrat est supérieure ou égale aux seuils européens ;</w:t>
      </w:r>
    </w:p>
    <w:p w14:paraId="615D145A" w14:textId="77777777" w:rsidR="00AE35C5" w:rsidRPr="00AE35C5" w:rsidRDefault="00AE35C5" w:rsidP="00364D04">
      <w:pPr>
        <w:pStyle w:val="Paragraphedeliste"/>
        <w:numPr>
          <w:ilvl w:val="0"/>
          <w:numId w:val="32"/>
        </w:numPr>
        <w:spacing w:after="200"/>
        <w:jc w:val="both"/>
      </w:pPr>
      <w:r w:rsidRPr="00AE35C5">
        <w:t>L’objet du contrat relève des activités de génie civil ou des travaux de construction relatifs aux hôpitaux, aux équipements sportifs, récréatifs et de loisirs, aux bâtiments scolaires et universitaires ainsi qu’aux bâtiments à usage administratif ou de prestations de services liés à ces travaux.</w:t>
      </w:r>
    </w:p>
    <w:p w14:paraId="4AE2A2A0" w14:textId="77777777" w:rsidR="00AE35C5" w:rsidRPr="00AE35C5" w:rsidRDefault="00AE35C5" w:rsidP="00364D04">
      <w:pPr>
        <w:spacing w:after="200"/>
      </w:pPr>
      <w:r w:rsidRPr="00AE35C5">
        <w:t xml:space="preserve"> Ainsi, les personnes de droit privé devront procéder à des mesures de publicité et de mise en concurrence si les conditions ci-dessus sont remplies.</w:t>
      </w:r>
    </w:p>
    <w:p w14:paraId="7385BD79" w14:textId="77777777" w:rsidR="00044155" w:rsidRDefault="00044155" w:rsidP="00364D04">
      <w:pPr>
        <w:pStyle w:val="Paragraphedeliste"/>
        <w:spacing w:after="200" w:line="276" w:lineRule="auto"/>
        <w:jc w:val="both"/>
        <w:rPr>
          <w:rFonts w:eastAsiaTheme="minorHAnsi" w:cstheme="minorBidi"/>
          <w:szCs w:val="22"/>
          <w:lang w:eastAsia="en-US"/>
        </w:rPr>
      </w:pPr>
    </w:p>
    <w:p w14:paraId="6CC2B3A1" w14:textId="77777777" w:rsidR="00E07A52" w:rsidRPr="00AE35C5" w:rsidRDefault="00E20A0A" w:rsidP="00364D04">
      <w:pPr>
        <w:pStyle w:val="Paragraphedeliste"/>
        <w:numPr>
          <w:ilvl w:val="0"/>
          <w:numId w:val="13"/>
        </w:numPr>
        <w:spacing w:after="200" w:line="276" w:lineRule="auto"/>
        <w:jc w:val="both"/>
        <w:rPr>
          <w:rFonts w:eastAsiaTheme="minorHAnsi" w:cstheme="minorBidi"/>
          <w:b/>
          <w:szCs w:val="22"/>
          <w:lang w:eastAsia="en-US"/>
        </w:rPr>
      </w:pPr>
      <w:r>
        <w:rPr>
          <w:rFonts w:eastAsiaTheme="minorHAnsi" w:cstheme="minorBidi"/>
          <w:b/>
          <w:szCs w:val="22"/>
          <w:lang w:eastAsia="en-US"/>
        </w:rPr>
        <w:t>Organisme reconnu de droit public</w:t>
      </w:r>
      <w:r w:rsidR="00AE3E3E">
        <w:rPr>
          <w:rFonts w:eastAsiaTheme="minorHAnsi" w:cstheme="minorBidi"/>
          <w:b/>
          <w:szCs w:val="22"/>
          <w:lang w:eastAsia="en-US"/>
        </w:rPr>
        <w:t xml:space="preserve"> (ORDP)</w:t>
      </w:r>
    </w:p>
    <w:p w14:paraId="04721E41" w14:textId="77777777" w:rsidR="00044155" w:rsidRDefault="00AE35C5" w:rsidP="00364D04">
      <w:pPr>
        <w:spacing w:after="200"/>
      </w:pPr>
      <w:r>
        <w:lastRenderedPageBreak/>
        <w:t>Les</w:t>
      </w:r>
      <w:r w:rsidR="00044155">
        <w:t xml:space="preserve"> ORDP sont soumis jusqu’au 1 avril 2016 au plus tard, à l’ordonnance de 2005 n° 2005-649 du 6 juin relative aux marchés passés par certaines personnes publiques ou privées non soumises au code des marchés publics. Cette </w:t>
      </w:r>
      <w:r w:rsidR="00AE3E3E">
        <w:t>date révolue, ces organismes s</w:t>
      </w:r>
      <w:r w:rsidR="00044155">
        <w:t>ont soumis à l’Ordonnance n° 2015-899 du 23 juillet 2015 relative aux marchés publics</w:t>
      </w:r>
      <w:r>
        <w:t xml:space="preserve">.  </w:t>
      </w:r>
      <w:r w:rsidR="00044155">
        <w:t>Pour rappel voici la définition in</w:t>
      </w:r>
      <w:r>
        <w:t>scrite dans l’ordonnance de 2015</w:t>
      </w:r>
      <w:r w:rsidR="00044155">
        <w:t xml:space="preserve"> :</w:t>
      </w:r>
    </w:p>
    <w:p w14:paraId="28FF5358" w14:textId="77777777" w:rsidR="00044155" w:rsidRPr="00AE35C5" w:rsidRDefault="00044155" w:rsidP="00364D04">
      <w:pPr>
        <w:rPr>
          <w:i/>
        </w:rPr>
      </w:pPr>
      <w:r w:rsidRPr="00AE35C5">
        <w:rPr>
          <w:i/>
        </w:rPr>
        <w:t>Les pouvoirs adjudicateurs sont :</w:t>
      </w:r>
    </w:p>
    <w:p w14:paraId="662D257E" w14:textId="77777777" w:rsidR="00044155" w:rsidRPr="00AE35C5" w:rsidRDefault="00044155" w:rsidP="00364D04">
      <w:pPr>
        <w:rPr>
          <w:i/>
        </w:rPr>
      </w:pPr>
      <w:r w:rsidRPr="00AE35C5">
        <w:rPr>
          <w:i/>
        </w:rPr>
        <w:t>1° Les personnes morales de droit public ;</w:t>
      </w:r>
    </w:p>
    <w:p w14:paraId="6D043A66" w14:textId="77777777" w:rsidR="00044155" w:rsidRPr="00AE3E3E" w:rsidRDefault="00044155" w:rsidP="00364D04">
      <w:pPr>
        <w:rPr>
          <w:b/>
          <w:i/>
        </w:rPr>
      </w:pPr>
      <w:r w:rsidRPr="00AE3E3E">
        <w:rPr>
          <w:b/>
          <w:i/>
        </w:rPr>
        <w:t>2° Les personnes morales de droit privé qui ont été créées pour satisfaire spécifiquement des besoins d'intérêt général ayant un caractère autre qu'industriel ou commercial, dont :</w:t>
      </w:r>
    </w:p>
    <w:p w14:paraId="56413CE9" w14:textId="77777777" w:rsidR="00044155" w:rsidRPr="00AE3E3E" w:rsidRDefault="00044155" w:rsidP="00364D04">
      <w:pPr>
        <w:rPr>
          <w:b/>
          <w:i/>
        </w:rPr>
      </w:pPr>
      <w:r w:rsidRPr="00AE3E3E">
        <w:rPr>
          <w:b/>
          <w:i/>
        </w:rPr>
        <w:t>a) Soit l'activité est financée majoritairement par un pouvoir adjudicateur ;</w:t>
      </w:r>
    </w:p>
    <w:p w14:paraId="1FCA992D" w14:textId="77777777" w:rsidR="00044155" w:rsidRPr="00AE3E3E" w:rsidRDefault="00044155" w:rsidP="00364D04">
      <w:pPr>
        <w:rPr>
          <w:b/>
          <w:i/>
        </w:rPr>
      </w:pPr>
      <w:r w:rsidRPr="00AE3E3E">
        <w:rPr>
          <w:b/>
          <w:i/>
        </w:rPr>
        <w:t>b) Soit la gestion est soumise à un contrôle par un pouvoir adjudicateur ;</w:t>
      </w:r>
    </w:p>
    <w:p w14:paraId="3A6327B8" w14:textId="77777777" w:rsidR="00044155" w:rsidRPr="00AE3E3E" w:rsidRDefault="00044155" w:rsidP="00364D04">
      <w:pPr>
        <w:rPr>
          <w:b/>
          <w:i/>
        </w:rPr>
      </w:pPr>
      <w:r w:rsidRPr="00AE3E3E">
        <w:rPr>
          <w:b/>
          <w:i/>
        </w:rPr>
        <w:t>c) Soit l'organe d'administration, de direction ou de surveillance est composé de membres dont plus de la moitié sont désignés par un pouvoir adjudicateur ;</w:t>
      </w:r>
    </w:p>
    <w:p w14:paraId="08F7858E" w14:textId="77777777" w:rsidR="00AE35C5" w:rsidRPr="00AE35C5" w:rsidRDefault="00044155" w:rsidP="00364D04">
      <w:pPr>
        <w:rPr>
          <w:i/>
        </w:rPr>
      </w:pPr>
      <w:r w:rsidRPr="00AE35C5">
        <w:rPr>
          <w:i/>
        </w:rPr>
        <w:t>3° Les organismes de droit privé dotés de la personnalité juridique constitués par des pouvoirs adjudicateurs en vue de réaliser</w:t>
      </w:r>
      <w:r w:rsidR="00AE35C5">
        <w:rPr>
          <w:i/>
        </w:rPr>
        <w:t xml:space="preserve"> certaines activités en commun.</w:t>
      </w:r>
    </w:p>
    <w:p w14:paraId="1ACB458C" w14:textId="77777777" w:rsidR="00044155" w:rsidRDefault="00044155" w:rsidP="00364D04">
      <w:r>
        <w:t xml:space="preserve">Par rapport à la question de l’interprétation de </w:t>
      </w:r>
      <w:r w:rsidRPr="00AE35C5">
        <w:rPr>
          <w:u w:val="single"/>
        </w:rPr>
        <w:t>l’objet social</w:t>
      </w:r>
      <w:r>
        <w:t xml:space="preserve"> et donc du critère selon lequel  « Les personnes morales de droit privé qui ont été créées pour satisfaire spécifiquement des besoins d'intérêt général ayant un caractère autre qu'industriel ou commercial » a fait l’objet d’un examen par la C</w:t>
      </w:r>
      <w:r w:rsidR="00AE35C5">
        <w:t xml:space="preserve">JUE à travers une jurisprudence </w:t>
      </w:r>
      <w:r>
        <w:t xml:space="preserve">: (15 janvier 1998 : </w:t>
      </w:r>
      <w:hyperlink r:id="rId22" w:history="1">
        <w:r w:rsidRPr="00AE35C5">
          <w:rPr>
            <w:rStyle w:val="Lienhypertexte"/>
          </w:rPr>
          <w:t xml:space="preserve">Arrêt </w:t>
        </w:r>
        <w:r w:rsidR="008462E2">
          <w:rPr>
            <w:rStyle w:val="Lienhypertexte"/>
          </w:rPr>
          <w:t xml:space="preserve">C-44/96 </w:t>
        </w:r>
        <w:r w:rsidRPr="00AE35C5">
          <w:rPr>
            <w:rStyle w:val="Lienhypertexte"/>
          </w:rPr>
          <w:t>de la Cour</w:t>
        </w:r>
      </w:hyperlink>
      <w:r>
        <w:t>). Elle fonde son analyse sur plusieurs critères et notamment sur les conditions qui ont amenées la création de la structure et le cadre dans lequel elle exerce ses missions.</w:t>
      </w:r>
    </w:p>
    <w:p w14:paraId="0337BEBD" w14:textId="77777777" w:rsidR="00044155" w:rsidRDefault="00044155" w:rsidP="00364D04">
      <w:r>
        <w:t>Une note de la DAJ (</w:t>
      </w:r>
      <w:hyperlink r:id="rId23" w:history="1">
        <w:r w:rsidRPr="00AE35C5">
          <w:rPr>
            <w:rStyle w:val="Lienhypertexte"/>
          </w:rPr>
          <w:t>Note DAJ</w:t>
        </w:r>
      </w:hyperlink>
      <w:r>
        <w:t xml:space="preserve">) reprend cette analyse qui indique concernant le terme « besoin d’intérêt général » le point suivant : </w:t>
      </w:r>
    </w:p>
    <w:p w14:paraId="0C9D18F4" w14:textId="77777777" w:rsidR="00044155" w:rsidRDefault="00044155" w:rsidP="00364D04">
      <w:r>
        <w:t xml:space="preserve">« À cet égard, la Cour juge qu’une activité répond à un besoin d’intérêt général lorsqu’elle profite à la collectivité et qu’une personne publique pourrait, à ce titre, la prendre en charge. ». </w:t>
      </w:r>
    </w:p>
    <w:p w14:paraId="01D2F647" w14:textId="77777777" w:rsidR="00044155" w:rsidRDefault="00044155" w:rsidP="00364D04">
      <w:r>
        <w:t>Par ailleurs la Cour a précisé que</w:t>
      </w:r>
      <w:r w:rsidR="00C76512">
        <w:t xml:space="preserve"> « les</w:t>
      </w:r>
      <w:r>
        <w:t xml:space="preserve"> besoins d’intérêt général ayant un caractère autre qu’industriel ou commercial sont en règle générale satisfaits d’une manière autre que par l’offre de biens ou de services sur le marché. Il s’agit en général de besoins que, pour des raisons liées à l’intérêt général, l’État choisit de satisfaire lui-même ou à l’égard desquels il entend conserver une influence déterminante ». </w:t>
      </w:r>
    </w:p>
    <w:p w14:paraId="153EBDA7" w14:textId="77777777" w:rsidR="00044155" w:rsidRDefault="00044155" w:rsidP="00364D04">
      <w:r>
        <w:t>Ce qui signifie que le pouvoir adjudicateur choisit de conserver une influence sur cette activité jugée nécessaire dans le cas où ce besoin ne pourrait être entièrement satisfait par les offres d’opérateurs entièrement privés.</w:t>
      </w:r>
    </w:p>
    <w:p w14:paraId="22FE7F46" w14:textId="77777777" w:rsidR="00AE35C5" w:rsidRPr="00044155" w:rsidRDefault="00AE35C5" w:rsidP="00364D04"/>
    <w:p w14:paraId="18656E90" w14:textId="77777777" w:rsidR="00B900E6" w:rsidRPr="00E20A0A" w:rsidRDefault="00E20A0A" w:rsidP="00364D04">
      <w:pPr>
        <w:pStyle w:val="Paragraphedeliste"/>
        <w:numPr>
          <w:ilvl w:val="0"/>
          <w:numId w:val="13"/>
        </w:numPr>
        <w:spacing w:after="200" w:line="276" w:lineRule="auto"/>
        <w:jc w:val="both"/>
        <w:rPr>
          <w:rFonts w:eastAsiaTheme="minorHAnsi" w:cstheme="minorBidi"/>
          <w:b/>
          <w:szCs w:val="22"/>
          <w:lang w:eastAsia="en-US"/>
        </w:rPr>
      </w:pPr>
      <w:r>
        <w:rPr>
          <w:rFonts w:eastAsiaTheme="minorHAnsi" w:cstheme="minorBidi"/>
          <w:b/>
          <w:szCs w:val="22"/>
          <w:lang w:eastAsia="en-US"/>
        </w:rPr>
        <w:t>Période d’éligibilité</w:t>
      </w:r>
      <w:r w:rsidR="001E054E">
        <w:rPr>
          <w:rFonts w:eastAsiaTheme="minorHAnsi" w:cstheme="minorBidi"/>
          <w:b/>
          <w:szCs w:val="22"/>
          <w:lang w:eastAsia="en-US"/>
        </w:rPr>
        <w:t xml:space="preserve"> dans le cadre des marchés publics</w:t>
      </w:r>
      <w:r w:rsidR="001E054E">
        <w:rPr>
          <w:rStyle w:val="Appelnotedebasdep"/>
          <w:rFonts w:eastAsiaTheme="minorHAnsi" w:cstheme="minorBidi"/>
          <w:b/>
          <w:szCs w:val="22"/>
          <w:lang w:eastAsia="en-US"/>
        </w:rPr>
        <w:footnoteReference w:id="39"/>
      </w:r>
    </w:p>
    <w:p w14:paraId="064F56F8" w14:textId="77777777" w:rsidR="00044155" w:rsidRPr="00044155" w:rsidRDefault="00AE35C5" w:rsidP="00364D04">
      <w:pPr>
        <w:spacing w:after="200"/>
      </w:pPr>
      <w:r w:rsidRPr="00E20A0A">
        <w:t>Une dépense peut avoir été engagée avant la période d’éligibilité (par exemple le contrat peut être signé et notifié en amont de la période d’éligibilité) mais la dépense doit bien sûr être exécutée pendant la période d’éligibilité (les dates d’exécution du marché doivent donc s’inscrire pendant la période d’exécution de l’opération prévue dans la convention et dans la mesure où un bon de commande lance l’exécution du marché celui-ci ne peut être antérieur à la période d’exécution de l’opération)</w:t>
      </w:r>
      <w:r w:rsidR="00AE3E3E">
        <w:rPr>
          <w:rStyle w:val="Appelnotedebasdep"/>
        </w:rPr>
        <w:footnoteReference w:id="40"/>
      </w:r>
      <w:r w:rsidR="00680E61">
        <w:t>, sauf règles spécifiques en matière d’aides d’Etat exigeant l’</w:t>
      </w:r>
      <w:proofErr w:type="spellStart"/>
      <w:r w:rsidR="00680E61">
        <w:t>incitativité</w:t>
      </w:r>
      <w:proofErr w:type="spellEnd"/>
      <w:r w:rsidRPr="00E20A0A">
        <w:rPr>
          <w:sz w:val="16"/>
          <w:szCs w:val="16"/>
        </w:rPr>
        <w:t>.</w:t>
      </w:r>
    </w:p>
    <w:p w14:paraId="2CC8149A" w14:textId="77777777" w:rsidR="00E20A0A" w:rsidRDefault="00E20A0A" w:rsidP="00364D04">
      <w:pPr>
        <w:pStyle w:val="Paragraphedeliste"/>
        <w:numPr>
          <w:ilvl w:val="0"/>
          <w:numId w:val="13"/>
        </w:numPr>
        <w:spacing w:after="200" w:line="276" w:lineRule="auto"/>
        <w:jc w:val="both"/>
        <w:rPr>
          <w:rFonts w:eastAsiaTheme="minorHAnsi" w:cstheme="minorBidi"/>
          <w:b/>
          <w:szCs w:val="22"/>
          <w:lang w:eastAsia="en-US"/>
        </w:rPr>
      </w:pPr>
      <w:r w:rsidRPr="00E20A0A">
        <w:rPr>
          <w:rFonts w:eastAsiaTheme="minorHAnsi" w:cstheme="minorBidi"/>
          <w:b/>
          <w:szCs w:val="22"/>
          <w:lang w:eastAsia="en-US"/>
        </w:rPr>
        <w:t>Prévention et fraude, notion de conflit d’intérêt</w:t>
      </w:r>
    </w:p>
    <w:p w14:paraId="12CB2DBE" w14:textId="77777777" w:rsidR="00192E42" w:rsidRDefault="001752D5" w:rsidP="00364D04">
      <w:pPr>
        <w:spacing w:after="200"/>
      </w:pPr>
      <w:r>
        <w:t xml:space="preserve">Avec la nouvelle ordonnance, il est maintenant reconnu que le pouvoir adjudicateur </w:t>
      </w:r>
      <w:r w:rsidR="00073C0A">
        <w:t>peut</w:t>
      </w:r>
      <w:r>
        <w:t xml:space="preserve"> </w:t>
      </w:r>
      <w:r w:rsidR="00073C0A">
        <w:t>écarter</w:t>
      </w:r>
      <w:r>
        <w:t xml:space="preserve"> les personnes qui, par leur participation, directe ou indirecte à la préparation du marché, ont eu accès à des informations susceptibles de créer une distorsion de la concurrence vis-à-vis des</w:t>
      </w:r>
      <w:r w:rsidR="00CF5394">
        <w:t xml:space="preserve"> autres candidats (article 48).</w:t>
      </w:r>
      <w:r w:rsidR="00E20A0A">
        <w:t xml:space="preserve"> L’autorité de </w:t>
      </w:r>
      <w:r w:rsidR="00E20A0A">
        <w:lastRenderedPageBreak/>
        <w:t>gestion doit s’assurer que les membres du personnel qui agissent et participent au déroulement de la procédure de marché ne sont pas influencé</w:t>
      </w:r>
      <w:r w:rsidR="00AE3E3E">
        <w:t>s</w:t>
      </w:r>
      <w:r w:rsidR="00E20A0A">
        <w:t xml:space="preserve"> directement ou indirectement par un intérêt financier, économique ou encore personnel qui pourrait être considéré comme compromettant leur objectivité et leur indépendance</w:t>
      </w:r>
      <w:r w:rsidR="00E20A0A">
        <w:rPr>
          <w:rStyle w:val="Appelnotedebasdep"/>
        </w:rPr>
        <w:footnoteReference w:id="41"/>
      </w:r>
      <w:r w:rsidR="00E20A0A">
        <w:t xml:space="preserve">. </w:t>
      </w:r>
    </w:p>
    <w:p w14:paraId="17A684AE" w14:textId="77777777" w:rsidR="00CF5394" w:rsidRDefault="00CF5394" w:rsidP="00364D04">
      <w:pPr>
        <w:pStyle w:val="Paragraphedeliste"/>
        <w:numPr>
          <w:ilvl w:val="0"/>
          <w:numId w:val="13"/>
        </w:numPr>
        <w:spacing w:after="200" w:line="276" w:lineRule="auto"/>
        <w:jc w:val="both"/>
        <w:rPr>
          <w:rFonts w:eastAsiaTheme="minorHAnsi" w:cstheme="minorBidi"/>
          <w:szCs w:val="22"/>
          <w:lang w:eastAsia="en-US"/>
        </w:rPr>
      </w:pPr>
      <w:r>
        <w:rPr>
          <w:rFonts w:eastAsiaTheme="minorHAnsi" w:cstheme="minorBidi"/>
          <w:szCs w:val="22"/>
          <w:lang w:eastAsia="en-US"/>
        </w:rPr>
        <w:t xml:space="preserve">Les </w:t>
      </w:r>
      <w:r w:rsidRPr="00AE35C5">
        <w:rPr>
          <w:rFonts w:eastAsiaTheme="minorHAnsi" w:cstheme="minorBidi"/>
          <w:b/>
          <w:szCs w:val="22"/>
          <w:lang w:eastAsia="en-US"/>
        </w:rPr>
        <w:t>critères de sélections</w:t>
      </w:r>
      <w:r>
        <w:rPr>
          <w:rFonts w:eastAsiaTheme="minorHAnsi" w:cstheme="minorBidi"/>
          <w:szCs w:val="22"/>
          <w:lang w:eastAsia="en-US"/>
        </w:rPr>
        <w:t xml:space="preserve"> doivent être adaptés au marché et surtout ne doivent pas pouvoir être interprétés comme étant </w:t>
      </w:r>
      <w:r w:rsidR="000E7559">
        <w:rPr>
          <w:rFonts w:eastAsiaTheme="minorHAnsi" w:cstheme="minorBidi"/>
          <w:szCs w:val="22"/>
          <w:lang w:eastAsia="en-US"/>
        </w:rPr>
        <w:t>discriminatoire</w:t>
      </w:r>
      <w:r w:rsidR="00073C0A">
        <w:rPr>
          <w:rFonts w:eastAsiaTheme="minorHAnsi" w:cstheme="minorBidi"/>
          <w:szCs w:val="22"/>
          <w:lang w:eastAsia="en-US"/>
        </w:rPr>
        <w:t>s</w:t>
      </w:r>
      <w:r>
        <w:rPr>
          <w:rFonts w:eastAsiaTheme="minorHAnsi" w:cstheme="minorBidi"/>
          <w:szCs w:val="22"/>
          <w:lang w:eastAsia="en-US"/>
        </w:rPr>
        <w:t xml:space="preserve"> ou disproportionné</w:t>
      </w:r>
      <w:r w:rsidR="00073C0A">
        <w:rPr>
          <w:rFonts w:eastAsiaTheme="minorHAnsi" w:cstheme="minorBidi"/>
          <w:szCs w:val="22"/>
          <w:lang w:eastAsia="en-US"/>
        </w:rPr>
        <w:t>s</w:t>
      </w:r>
      <w:r w:rsidR="000E7559">
        <w:rPr>
          <w:rFonts w:eastAsiaTheme="minorHAnsi" w:cstheme="minorBidi"/>
          <w:szCs w:val="22"/>
          <w:lang w:eastAsia="en-US"/>
        </w:rPr>
        <w:t>. Exemple : Le pouvoir adjudicateur peut fixer des exigences en matière de chiffre d’affaires ou encore de références de travaux, mais ce chiffrage ne doit pas être disproportionné, ce qui constituerait alors un risque d’éliminer d’office un certain nombre d’opérateur</w:t>
      </w:r>
      <w:r w:rsidR="00073C0A">
        <w:rPr>
          <w:rFonts w:eastAsiaTheme="minorHAnsi" w:cstheme="minorBidi"/>
          <w:szCs w:val="22"/>
          <w:lang w:eastAsia="en-US"/>
        </w:rPr>
        <w:t>s</w:t>
      </w:r>
      <w:r w:rsidR="000E7559">
        <w:rPr>
          <w:rFonts w:eastAsiaTheme="minorHAnsi" w:cstheme="minorBidi"/>
          <w:szCs w:val="22"/>
          <w:lang w:eastAsia="en-US"/>
        </w:rPr>
        <w:t xml:space="preserve"> économique</w:t>
      </w:r>
      <w:r w:rsidR="00073C0A">
        <w:rPr>
          <w:rFonts w:eastAsiaTheme="minorHAnsi" w:cstheme="minorBidi"/>
          <w:szCs w:val="22"/>
          <w:lang w:eastAsia="en-US"/>
        </w:rPr>
        <w:t>s</w:t>
      </w:r>
      <w:r w:rsidR="000E7559">
        <w:rPr>
          <w:rFonts w:eastAsiaTheme="minorHAnsi" w:cstheme="minorBidi"/>
          <w:szCs w:val="22"/>
          <w:lang w:eastAsia="en-US"/>
        </w:rPr>
        <w:t>. Une bonne pratique veut généralement que le chiffre d’affaires annuel des soumissionnaires ne soit pas fixé à plus du double de la valeur du marché par exemple</w:t>
      </w:r>
      <w:r w:rsidR="000E7559">
        <w:rPr>
          <w:rStyle w:val="Appelnotedebasdep"/>
          <w:rFonts w:eastAsiaTheme="minorHAnsi" w:cstheme="minorBidi"/>
          <w:szCs w:val="22"/>
          <w:lang w:eastAsia="en-US"/>
        </w:rPr>
        <w:footnoteReference w:id="42"/>
      </w:r>
      <w:r w:rsidR="000E7559">
        <w:rPr>
          <w:rFonts w:eastAsiaTheme="minorHAnsi" w:cstheme="minorBidi"/>
          <w:szCs w:val="22"/>
          <w:lang w:eastAsia="en-US"/>
        </w:rPr>
        <w:t>.</w:t>
      </w:r>
    </w:p>
    <w:p w14:paraId="6A3CB298" w14:textId="77777777" w:rsidR="00E20A0A" w:rsidRDefault="00E20A0A" w:rsidP="00364D04">
      <w:pPr>
        <w:pStyle w:val="Paragraphedeliste"/>
        <w:spacing w:after="200" w:line="276" w:lineRule="auto"/>
        <w:jc w:val="both"/>
        <w:rPr>
          <w:rFonts w:eastAsiaTheme="minorHAnsi" w:cstheme="minorBidi"/>
          <w:szCs w:val="22"/>
          <w:lang w:eastAsia="en-US"/>
        </w:rPr>
      </w:pPr>
    </w:p>
    <w:p w14:paraId="359C5194" w14:textId="77777777" w:rsidR="00926B99" w:rsidRDefault="00E20A0A" w:rsidP="00364D04">
      <w:pPr>
        <w:pStyle w:val="Paragraphedeliste"/>
        <w:numPr>
          <w:ilvl w:val="0"/>
          <w:numId w:val="13"/>
        </w:numPr>
        <w:spacing w:after="200" w:line="276" w:lineRule="auto"/>
        <w:jc w:val="both"/>
        <w:rPr>
          <w:rFonts w:eastAsiaTheme="minorHAnsi" w:cstheme="minorBidi"/>
          <w:szCs w:val="22"/>
          <w:lang w:eastAsia="en-US"/>
        </w:rPr>
      </w:pPr>
      <w:r>
        <w:rPr>
          <w:rFonts w:eastAsiaTheme="minorHAnsi" w:cstheme="minorBidi"/>
          <w:szCs w:val="22"/>
          <w:lang w:eastAsia="en-US"/>
        </w:rPr>
        <w:t>R</w:t>
      </w:r>
      <w:r w:rsidR="00926B99">
        <w:rPr>
          <w:rFonts w:eastAsiaTheme="minorHAnsi" w:cstheme="minorBidi"/>
          <w:szCs w:val="22"/>
          <w:lang w:eastAsia="en-US"/>
        </w:rPr>
        <w:t xml:space="preserve">especter les </w:t>
      </w:r>
      <w:r w:rsidR="00926B99" w:rsidRPr="00E20A0A">
        <w:rPr>
          <w:rFonts w:eastAsiaTheme="minorHAnsi" w:cstheme="minorBidi"/>
          <w:szCs w:val="22"/>
          <w:u w:val="single"/>
          <w:lang w:eastAsia="en-US"/>
        </w:rPr>
        <w:t>pr</w:t>
      </w:r>
      <w:r w:rsidRPr="00E20A0A">
        <w:rPr>
          <w:rFonts w:eastAsiaTheme="minorHAnsi" w:cstheme="minorBidi"/>
          <w:szCs w:val="22"/>
          <w:u w:val="single"/>
          <w:lang w:eastAsia="en-US"/>
        </w:rPr>
        <w:t>océdures internes</w:t>
      </w:r>
      <w:r>
        <w:rPr>
          <w:rFonts w:eastAsiaTheme="minorHAnsi" w:cstheme="minorBidi"/>
          <w:szCs w:val="22"/>
          <w:lang w:eastAsia="en-US"/>
        </w:rPr>
        <w:t xml:space="preserve"> d’achat de la structure</w:t>
      </w:r>
    </w:p>
    <w:p w14:paraId="48F264DF" w14:textId="77777777" w:rsidR="00E20A0A" w:rsidRDefault="00E20A0A" w:rsidP="00364D04">
      <w:pPr>
        <w:pStyle w:val="Paragraphedeliste"/>
        <w:spacing w:after="200" w:line="276" w:lineRule="auto"/>
        <w:jc w:val="both"/>
        <w:rPr>
          <w:rFonts w:eastAsiaTheme="minorHAnsi" w:cstheme="minorBidi"/>
          <w:szCs w:val="22"/>
          <w:lang w:eastAsia="en-US"/>
        </w:rPr>
      </w:pPr>
    </w:p>
    <w:p w14:paraId="16148B24" w14:textId="77777777" w:rsidR="00926B99" w:rsidRDefault="00E20A0A" w:rsidP="00364D04">
      <w:pPr>
        <w:pStyle w:val="Paragraphedeliste"/>
        <w:numPr>
          <w:ilvl w:val="0"/>
          <w:numId w:val="13"/>
        </w:numPr>
        <w:spacing w:after="200" w:line="276" w:lineRule="auto"/>
        <w:jc w:val="both"/>
        <w:rPr>
          <w:rFonts w:eastAsiaTheme="minorHAnsi" w:cstheme="minorBidi"/>
          <w:szCs w:val="22"/>
          <w:lang w:eastAsia="en-US"/>
        </w:rPr>
      </w:pPr>
      <w:r>
        <w:rPr>
          <w:rFonts w:eastAsiaTheme="minorHAnsi" w:cstheme="minorBidi"/>
          <w:szCs w:val="22"/>
          <w:lang w:eastAsia="en-US"/>
        </w:rPr>
        <w:t>R</w:t>
      </w:r>
      <w:r w:rsidR="00926B99">
        <w:rPr>
          <w:rFonts w:eastAsiaTheme="minorHAnsi" w:cstheme="minorBidi"/>
          <w:szCs w:val="22"/>
          <w:lang w:eastAsia="en-US"/>
        </w:rPr>
        <w:t xml:space="preserve">especter les </w:t>
      </w:r>
      <w:r w:rsidR="00926B99" w:rsidRPr="00E20A0A">
        <w:rPr>
          <w:rFonts w:eastAsiaTheme="minorHAnsi" w:cstheme="minorBidi"/>
          <w:szCs w:val="22"/>
          <w:u w:val="single"/>
          <w:lang w:eastAsia="en-US"/>
        </w:rPr>
        <w:t>procédures</w:t>
      </w:r>
      <w:r w:rsidR="00073C0A">
        <w:rPr>
          <w:rFonts w:eastAsiaTheme="minorHAnsi" w:cstheme="minorBidi"/>
          <w:szCs w:val="22"/>
          <w:u w:val="single"/>
          <w:lang w:eastAsia="en-US"/>
        </w:rPr>
        <w:t xml:space="preserve"> prévues par</w:t>
      </w:r>
      <w:r w:rsidR="00926B99" w:rsidRPr="00E20A0A">
        <w:rPr>
          <w:rFonts w:eastAsiaTheme="minorHAnsi" w:cstheme="minorBidi"/>
          <w:szCs w:val="22"/>
          <w:u w:val="single"/>
          <w:lang w:eastAsia="en-US"/>
        </w:rPr>
        <w:t xml:space="preserve"> </w:t>
      </w:r>
      <w:r w:rsidR="00073C0A">
        <w:rPr>
          <w:rFonts w:eastAsiaTheme="minorHAnsi" w:cstheme="minorBidi"/>
          <w:szCs w:val="22"/>
          <w:u w:val="single"/>
          <w:lang w:eastAsia="en-US"/>
        </w:rPr>
        <w:t>l’autorité de gestion (AG)</w:t>
      </w:r>
      <w:r w:rsidR="00926B99">
        <w:rPr>
          <w:rFonts w:eastAsiaTheme="minorHAnsi" w:cstheme="minorBidi"/>
          <w:szCs w:val="22"/>
          <w:lang w:eastAsia="en-US"/>
        </w:rPr>
        <w:t xml:space="preserve"> dans le DSGC ou autre document de l’AG</w:t>
      </w:r>
    </w:p>
    <w:p w14:paraId="2D2AAC89" w14:textId="77777777" w:rsidR="00E20A0A" w:rsidRDefault="00E20A0A" w:rsidP="00364D04">
      <w:pPr>
        <w:pStyle w:val="Paragraphedeliste"/>
        <w:spacing w:after="200" w:line="276" w:lineRule="auto"/>
        <w:jc w:val="both"/>
        <w:rPr>
          <w:rFonts w:eastAsiaTheme="minorHAnsi" w:cstheme="minorBidi"/>
          <w:szCs w:val="22"/>
          <w:lang w:eastAsia="en-US"/>
        </w:rPr>
      </w:pPr>
    </w:p>
    <w:p w14:paraId="5929D00C" w14:textId="77777777" w:rsidR="00B900E6" w:rsidRPr="00E20A0A" w:rsidRDefault="00E20A0A" w:rsidP="00364D04">
      <w:pPr>
        <w:pStyle w:val="Paragraphedeliste"/>
        <w:numPr>
          <w:ilvl w:val="0"/>
          <w:numId w:val="13"/>
        </w:numPr>
        <w:spacing w:after="200" w:line="276" w:lineRule="auto"/>
        <w:jc w:val="both"/>
      </w:pPr>
      <w:r w:rsidRPr="00E20A0A">
        <w:rPr>
          <w:rFonts w:eastAsiaTheme="minorHAnsi" w:cstheme="minorBidi"/>
          <w:b/>
          <w:szCs w:val="22"/>
          <w:lang w:eastAsia="en-US"/>
        </w:rPr>
        <w:t>M</w:t>
      </w:r>
      <w:r w:rsidR="009A3107" w:rsidRPr="00E20A0A">
        <w:rPr>
          <w:rFonts w:eastAsiaTheme="minorHAnsi" w:cstheme="minorBidi"/>
          <w:b/>
          <w:szCs w:val="22"/>
          <w:lang w:eastAsia="en-US"/>
        </w:rPr>
        <w:t>odification du marché</w:t>
      </w:r>
      <w:r>
        <w:rPr>
          <w:rStyle w:val="Appelnotedebasdep"/>
          <w:rFonts w:eastAsiaTheme="minorHAnsi" w:cstheme="minorBidi"/>
          <w:szCs w:val="22"/>
          <w:lang w:eastAsia="en-US"/>
        </w:rPr>
        <w:footnoteReference w:id="43"/>
      </w:r>
      <w:r w:rsidR="009A3107" w:rsidRPr="00E20A0A">
        <w:rPr>
          <w:rFonts w:eastAsiaTheme="minorHAnsi" w:cstheme="minorBidi"/>
          <w:szCs w:val="22"/>
          <w:lang w:eastAsia="en-US"/>
        </w:rPr>
        <w:t xml:space="preserve"> </w:t>
      </w:r>
    </w:p>
    <w:p w14:paraId="341F32C1" w14:textId="77777777" w:rsidR="00E20A0A" w:rsidRDefault="00E20A0A" w:rsidP="00364D04">
      <w:pPr>
        <w:spacing w:after="200"/>
      </w:pPr>
      <w:r>
        <w:t>La modification du marché doit être très encadrée et l’autorité de gestion devra s’assurer que la modification est</w:t>
      </w:r>
      <w:r w:rsidR="00073C0A">
        <w:t xml:space="preserve"> dument justifiée et respecte le</w:t>
      </w:r>
      <w:r>
        <w:t xml:space="preserve"> cadre juridique applicable. </w:t>
      </w:r>
    </w:p>
    <w:p w14:paraId="2BEADA26" w14:textId="77777777" w:rsidR="00AE3E3E" w:rsidRDefault="00250C43" w:rsidP="00AE0AC2">
      <w:pPr>
        <w:pStyle w:val="Paragraphedeliste"/>
        <w:numPr>
          <w:ilvl w:val="0"/>
          <w:numId w:val="42"/>
        </w:numPr>
        <w:spacing w:after="200"/>
      </w:pPr>
      <w:r w:rsidRPr="00250C43">
        <w:rPr>
          <w:b/>
        </w:rPr>
        <w:t>Saucis</w:t>
      </w:r>
      <w:r w:rsidR="00073C0A">
        <w:rPr>
          <w:b/>
        </w:rPr>
        <w:t>s</w:t>
      </w:r>
      <w:r w:rsidRPr="00250C43">
        <w:rPr>
          <w:b/>
        </w:rPr>
        <w:t>onnage</w:t>
      </w:r>
      <w:r>
        <w:t> : Pratique qui consiste à passer plusieurs procédures de faible montant les unes après les autres pour rester en-deçà des seuils de procédures formalisées, cette pratique est interdite</w:t>
      </w:r>
      <w:r w:rsidR="00AE0AC2">
        <w:t xml:space="preserve"> et doit être contrôlé par le service instructeur</w:t>
      </w:r>
      <w:r>
        <w:t xml:space="preserve">. </w:t>
      </w:r>
    </w:p>
    <w:p w14:paraId="6BBFBAF2" w14:textId="77777777" w:rsidR="00307BDB" w:rsidRDefault="00307BDB" w:rsidP="00307BDB">
      <w:pPr>
        <w:rPr>
          <w:b/>
        </w:rPr>
      </w:pPr>
    </w:p>
    <w:p w14:paraId="3573B945" w14:textId="77777777" w:rsidR="00307BDB" w:rsidRPr="00AD7973" w:rsidRDefault="00307BDB" w:rsidP="00307BDB">
      <w:pPr>
        <w:rPr>
          <w:b/>
          <w:sz w:val="22"/>
          <w:u w:val="double" w:color="FF0000"/>
        </w:rPr>
      </w:pPr>
      <w:r w:rsidRPr="00AD7973">
        <w:rPr>
          <w:b/>
          <w:color w:val="FF0000"/>
          <w:sz w:val="22"/>
          <w:u w:val="double" w:color="FF0000"/>
        </w:rPr>
        <w:t>/</w:t>
      </w:r>
      <w:r w:rsidR="00787378" w:rsidRPr="00AD7973">
        <w:rPr>
          <w:b/>
          <w:color w:val="FF0000"/>
          <w:sz w:val="22"/>
          <w:u w:val="double" w:color="FF0000"/>
        </w:rPr>
        <w:t> ! \</w:t>
      </w:r>
      <w:r w:rsidRPr="00AD7973">
        <w:rPr>
          <w:b/>
          <w:color w:val="FF0000"/>
          <w:sz w:val="22"/>
          <w:u w:val="double" w:color="FF0000"/>
        </w:rPr>
        <w:t xml:space="preserve"> : </w:t>
      </w:r>
      <w:r w:rsidRPr="00AD7973">
        <w:rPr>
          <w:b/>
          <w:sz w:val="22"/>
          <w:u w:val="double" w:color="FF0000"/>
        </w:rPr>
        <w:t>Erreurs fréquentes entraînant des corrections financières</w:t>
      </w:r>
      <w:r w:rsidR="003B5E8D" w:rsidRPr="00AD7973">
        <w:rPr>
          <w:rStyle w:val="Appelnotedebasdep"/>
          <w:b/>
          <w:sz w:val="22"/>
          <w:u w:val="double" w:color="FF0000"/>
        </w:rPr>
        <w:footnoteReference w:id="44"/>
      </w:r>
      <w:r w:rsidRPr="00AD7973">
        <w:rPr>
          <w:b/>
          <w:sz w:val="22"/>
          <w:u w:val="double" w:color="FF0000"/>
        </w:rPr>
        <w:t xml:space="preserve"> : </w:t>
      </w:r>
    </w:p>
    <w:p w14:paraId="33976083" w14:textId="77777777" w:rsidR="00A1147F" w:rsidRPr="00A1147F" w:rsidRDefault="00A1147F" w:rsidP="00307BDB">
      <w:pPr>
        <w:rPr>
          <w:b/>
          <w:sz w:val="24"/>
          <w:szCs w:val="24"/>
          <w:u w:val="double" w:color="FF0000"/>
        </w:rPr>
      </w:pPr>
    </w:p>
    <w:p w14:paraId="515E5044" w14:textId="77777777" w:rsidR="00307BDB" w:rsidRDefault="00307BDB" w:rsidP="00307BDB">
      <w:pPr>
        <w:rPr>
          <w:b/>
        </w:rPr>
      </w:pPr>
      <w:r>
        <w:rPr>
          <w:b/>
        </w:rPr>
        <w:t>1 - Dans la phase de planification du marché</w:t>
      </w:r>
    </w:p>
    <w:p w14:paraId="2A3A0FE7" w14:textId="77777777" w:rsidR="00307BDB" w:rsidRPr="00307BDB" w:rsidRDefault="00307BDB" w:rsidP="00307BDB">
      <w:r w:rsidRPr="00307BDB">
        <w:t xml:space="preserve">- définition insuffisante de l’objet du marché </w:t>
      </w:r>
    </w:p>
    <w:p w14:paraId="1080EA89" w14:textId="77777777" w:rsidR="00307BDB" w:rsidRPr="00307BDB" w:rsidRDefault="00307BDB" w:rsidP="00307BDB">
      <w:r w:rsidRPr="00307BDB">
        <w:t>- l’attribution directe d’un marché sans justification suffisamment étayée</w:t>
      </w:r>
    </w:p>
    <w:p w14:paraId="3CB24689" w14:textId="77777777" w:rsidR="00307BDB" w:rsidRPr="00307BDB" w:rsidRDefault="00307BDB" w:rsidP="00307BDB">
      <w:r w:rsidRPr="00307BDB">
        <w:t>- l’avis de marché n’a pas été publié conformément aux règles en vigueur</w:t>
      </w:r>
    </w:p>
    <w:p w14:paraId="1E48DB86" w14:textId="77777777" w:rsidR="00307BDB" w:rsidRDefault="00307BDB" w:rsidP="00307BDB">
      <w:r w:rsidRPr="00307BDB">
        <w:t xml:space="preserve">- fractionnement artificiel de marchés dans le but de faire passer le marché en deçà </w:t>
      </w:r>
      <w:r w:rsidR="00C76512" w:rsidRPr="00307BDB">
        <w:t>des seuils règlementaires</w:t>
      </w:r>
    </w:p>
    <w:p w14:paraId="6C1A70C7" w14:textId="77777777" w:rsidR="00CF5394" w:rsidRDefault="00307BDB" w:rsidP="00307BDB">
      <w:r>
        <w:t>Taux de corrections pouvant aller jusqu’à 100% dans ces cas-là, pour plus de détail</w:t>
      </w:r>
      <w:r w:rsidR="003B5E8D">
        <w:t>s</w:t>
      </w:r>
      <w:r>
        <w:t xml:space="preserve"> </w:t>
      </w:r>
      <w:proofErr w:type="gramStart"/>
      <w:r>
        <w:t>voir</w:t>
      </w:r>
      <w:proofErr w:type="gramEnd"/>
      <w:r>
        <w:t xml:space="preserve"> la fiche contrôle CICC et la note d’orientation pour la détermination des corrections financières à appliquer en cas de non-respect des règles en matière de marchés publics de la Commission européenne. </w:t>
      </w:r>
    </w:p>
    <w:p w14:paraId="4D657EF9" w14:textId="77777777" w:rsidR="00307BDB" w:rsidRPr="003B5E8D" w:rsidRDefault="00307BDB" w:rsidP="00307BDB">
      <w:pPr>
        <w:rPr>
          <w:b/>
        </w:rPr>
      </w:pPr>
      <w:r w:rsidRPr="003B5E8D">
        <w:rPr>
          <w:b/>
        </w:rPr>
        <w:t xml:space="preserve"> 2 – Dans la phase de publication</w:t>
      </w:r>
    </w:p>
    <w:p w14:paraId="49C4F9E3" w14:textId="77777777" w:rsidR="00307BDB" w:rsidRDefault="00307BDB" w:rsidP="00307BDB">
      <w:r>
        <w:t xml:space="preserve">- </w:t>
      </w:r>
      <w:r w:rsidR="003B5E8D">
        <w:t>non-respect</w:t>
      </w:r>
      <w:r>
        <w:t xml:space="preserve"> des délais minimaux de réception des offres et des demandes de participation</w:t>
      </w:r>
    </w:p>
    <w:p w14:paraId="24B354BB" w14:textId="77777777" w:rsidR="00307BDB" w:rsidRDefault="00307BDB" w:rsidP="00307BDB">
      <w:r>
        <w:t>- omission des critères de sélection et/ou d’attribution</w:t>
      </w:r>
    </w:p>
    <w:p w14:paraId="0EC6468E" w14:textId="77777777" w:rsidR="00307BDB" w:rsidRPr="00307BDB" w:rsidRDefault="00307BDB" w:rsidP="00307BDB">
      <w:r>
        <w:t xml:space="preserve">- inclusion de critères de sélection illégaux et/ou </w:t>
      </w:r>
      <w:r w:rsidR="003B5E8D">
        <w:t>discriminatoire</w:t>
      </w:r>
      <w:r>
        <w:t xml:space="preserve"> </w:t>
      </w:r>
    </w:p>
    <w:p w14:paraId="678D6709" w14:textId="77777777" w:rsidR="003B5E8D" w:rsidRDefault="003B5E8D" w:rsidP="003B5E8D">
      <w:r>
        <w:lastRenderedPageBreak/>
        <w:t xml:space="preserve">Taux de corrections pouvant aller jusqu’à 25% dans ces cas-là, pour plus de détails </w:t>
      </w:r>
      <w:proofErr w:type="gramStart"/>
      <w:r>
        <w:t>voir</w:t>
      </w:r>
      <w:proofErr w:type="gramEnd"/>
      <w:r>
        <w:t xml:space="preserve"> la fiche contrôle CICC et la note d’orientation pour la détermination des corrections financières à appliquer en cas de non-respect des règles en matière de marchés publics de la Commission européenne. </w:t>
      </w:r>
    </w:p>
    <w:p w14:paraId="36B6BFFA" w14:textId="77777777" w:rsidR="003B5E8D" w:rsidRDefault="003B5E8D" w:rsidP="003B5E8D">
      <w:pPr>
        <w:rPr>
          <w:b/>
        </w:rPr>
      </w:pPr>
      <w:r w:rsidRPr="003B5E8D">
        <w:rPr>
          <w:b/>
        </w:rPr>
        <w:t xml:space="preserve">3 – Sélection </w:t>
      </w:r>
      <w:r w:rsidR="00CF5394">
        <w:rPr>
          <w:b/>
        </w:rPr>
        <w:t>des soumissionnaires et évaluation des offres</w:t>
      </w:r>
    </w:p>
    <w:p w14:paraId="1BEFAF64" w14:textId="77777777" w:rsidR="003B5E8D" w:rsidRPr="003B5E8D" w:rsidRDefault="003B5E8D" w:rsidP="003B5E8D">
      <w:r w:rsidRPr="003B5E8D">
        <w:t>- inégalité de traitement des soumissionnaires</w:t>
      </w:r>
    </w:p>
    <w:p w14:paraId="55285370" w14:textId="77777777" w:rsidR="003B5E8D" w:rsidRPr="003B5E8D" w:rsidRDefault="003B5E8D" w:rsidP="003B5E8D">
      <w:r w:rsidRPr="003B5E8D">
        <w:t>- modification des critères de sélection après l’ouverture des offres</w:t>
      </w:r>
    </w:p>
    <w:p w14:paraId="0715CDCD" w14:textId="77777777" w:rsidR="00CF5394" w:rsidRDefault="003B5E8D" w:rsidP="003B5E8D">
      <w:r>
        <w:t xml:space="preserve">Taux de corrections pouvant aller jusqu’à 25% dans ces cas-là, pour plus de détails </w:t>
      </w:r>
      <w:proofErr w:type="gramStart"/>
      <w:r>
        <w:t>voir</w:t>
      </w:r>
      <w:proofErr w:type="gramEnd"/>
      <w:r>
        <w:t xml:space="preserve"> la fiche contrôle CICC et la note d’orientation pour la détermination des corrections financières à appliquer en cas de non-respect des règles en matière de marchés publics de la Commission européenne. </w:t>
      </w:r>
    </w:p>
    <w:p w14:paraId="6A84EA57" w14:textId="77777777" w:rsidR="003B5E8D" w:rsidRDefault="003B5E8D" w:rsidP="003B5E8D">
      <w:pPr>
        <w:rPr>
          <w:b/>
        </w:rPr>
      </w:pPr>
      <w:r w:rsidRPr="003B5E8D">
        <w:rPr>
          <w:b/>
        </w:rPr>
        <w:t>4 – Attribution du marché</w:t>
      </w:r>
    </w:p>
    <w:p w14:paraId="081F06A4" w14:textId="77777777" w:rsidR="003B5E8D" w:rsidRPr="003B5E8D" w:rsidRDefault="003B5E8D" w:rsidP="003B5E8D">
      <w:r w:rsidRPr="003B5E8D">
        <w:t>- rejet d’offre anormalement basse sans justification</w:t>
      </w:r>
    </w:p>
    <w:p w14:paraId="294E7ECC" w14:textId="77777777" w:rsidR="003B5E8D" w:rsidRPr="003B5E8D" w:rsidRDefault="003B5E8D" w:rsidP="003B5E8D">
      <w:r w:rsidRPr="003B5E8D">
        <w:t>- conflit d’intérêts non déclaré</w:t>
      </w:r>
    </w:p>
    <w:p w14:paraId="43631AF2" w14:textId="77777777" w:rsidR="003B5E8D" w:rsidRDefault="003B5E8D" w:rsidP="003B5E8D">
      <w:r>
        <w:t xml:space="preserve">Taux de corrections pouvant aller de 25% à 100% dans ces cas-là, pour plus de détails </w:t>
      </w:r>
      <w:proofErr w:type="gramStart"/>
      <w:r>
        <w:t>voir</w:t>
      </w:r>
      <w:proofErr w:type="gramEnd"/>
      <w:r>
        <w:t xml:space="preserve"> la fiche contrôle CICC et la note d’orientation pour la détermination des corrections financières à appliquer en cas de non-respect des règles en matière de marchés publics de la Commission européenne. </w:t>
      </w:r>
    </w:p>
    <w:p w14:paraId="4C0D90A7" w14:textId="77777777" w:rsidR="003B5E8D" w:rsidRPr="001B698F" w:rsidRDefault="003B5E8D" w:rsidP="003B5E8D">
      <w:pPr>
        <w:rPr>
          <w:b/>
        </w:rPr>
      </w:pPr>
      <w:r w:rsidRPr="001B698F">
        <w:rPr>
          <w:b/>
        </w:rPr>
        <w:t xml:space="preserve">5 – Exécution du marché </w:t>
      </w:r>
    </w:p>
    <w:p w14:paraId="3F732F3C" w14:textId="77777777" w:rsidR="003B5E8D" w:rsidRPr="001B698F" w:rsidRDefault="001B698F" w:rsidP="003B5E8D">
      <w:r w:rsidRPr="001B698F">
        <w:t>- attribution de marchés pour des travaux, services ou fournitures supplémentaires sans mise en concurrence</w:t>
      </w:r>
    </w:p>
    <w:p w14:paraId="40E7DF19" w14:textId="77777777" w:rsidR="001B698F" w:rsidRPr="001B698F" w:rsidRDefault="001B698F" w:rsidP="003B5E8D">
      <w:r w:rsidRPr="001B698F">
        <w:t>- attribution de marchés pour des travaux, services ou fournitures supplémentaires dépassant les limites prévues</w:t>
      </w:r>
    </w:p>
    <w:p w14:paraId="1A6694CE" w14:textId="77777777" w:rsidR="00AE3E3E" w:rsidRPr="00B311AC" w:rsidRDefault="001B698F" w:rsidP="008A578D">
      <w:r>
        <w:t xml:space="preserve">Taux de corrections pouvant aller jusqu’à 100% dans ces cas-là, pour plus de détails </w:t>
      </w:r>
      <w:proofErr w:type="gramStart"/>
      <w:r>
        <w:t>voir</w:t>
      </w:r>
      <w:proofErr w:type="gramEnd"/>
      <w:r>
        <w:t xml:space="preserve"> la fiche contrôle CICC et la note d’orientation pour la détermination des corrections financières à appliquer en cas de non-respect des règles en matière de marchés public</w:t>
      </w:r>
      <w:r w:rsidR="00E20A0A">
        <w:t xml:space="preserve">s de la Commission européenne. </w:t>
      </w:r>
    </w:p>
    <w:p w14:paraId="6C676AB1" w14:textId="77777777" w:rsidR="002A50EC" w:rsidRDefault="002A50EC" w:rsidP="002A50EC">
      <w:pPr>
        <w:pStyle w:val="Titre1"/>
        <w:numPr>
          <w:ilvl w:val="0"/>
          <w:numId w:val="1"/>
        </w:numPr>
        <w:ind w:left="426"/>
      </w:pPr>
      <w:r>
        <w:t>Recommandations</w:t>
      </w:r>
      <w:r w:rsidR="008A578D">
        <w:t xml:space="preserve"> et bonnes pratiques</w:t>
      </w:r>
    </w:p>
    <w:p w14:paraId="5674E98F" w14:textId="77777777" w:rsidR="002A50EC" w:rsidRDefault="002A50EC" w:rsidP="002A50EC"/>
    <w:p w14:paraId="5E30E418" w14:textId="77777777" w:rsidR="00314FD2" w:rsidRDefault="00314FD2" w:rsidP="00364D04">
      <w:pPr>
        <w:pStyle w:val="Paragraphedeliste"/>
        <w:numPr>
          <w:ilvl w:val="0"/>
          <w:numId w:val="19"/>
        </w:numPr>
        <w:jc w:val="both"/>
      </w:pPr>
      <w:r>
        <w:t>Une fiche d’appui au contrôle du respect des règles de la commande publique peut être mise en place afin d’accompagner le service instructeur dans sa démarche de vérification des marchés publics</w:t>
      </w:r>
      <w:r w:rsidR="00AE3E3E">
        <w:t>.</w:t>
      </w:r>
      <w:r>
        <w:rPr>
          <w:rStyle w:val="Appelnotedebasdep"/>
        </w:rPr>
        <w:footnoteReference w:id="45"/>
      </w:r>
    </w:p>
    <w:p w14:paraId="14AB620F" w14:textId="77777777" w:rsidR="00314FD2" w:rsidRDefault="00314FD2" w:rsidP="00364D04">
      <w:pPr>
        <w:pStyle w:val="Paragraphedeliste"/>
        <w:numPr>
          <w:ilvl w:val="0"/>
          <w:numId w:val="19"/>
        </w:numPr>
        <w:jc w:val="both"/>
      </w:pPr>
      <w:r w:rsidRPr="00314FD2">
        <w:t xml:space="preserve">Il est recommandé de se référer à la fiche d’examen des conditions de passation des marchés publics </w:t>
      </w:r>
      <w:hyperlink r:id="rId24" w:history="1">
        <w:r w:rsidRPr="00E95C14">
          <w:rPr>
            <w:rStyle w:val="Lienhypertexte"/>
          </w:rPr>
          <w:t>réalisée par la CICC</w:t>
        </w:r>
      </w:hyperlink>
      <w:r w:rsidR="00AE3E3E">
        <w:rPr>
          <w:rStyle w:val="Lienhypertexte"/>
        </w:rPr>
        <w:t>.</w:t>
      </w:r>
    </w:p>
    <w:p w14:paraId="0DDD9E29" w14:textId="77777777" w:rsidR="00B900E6" w:rsidRDefault="00314FD2" w:rsidP="00364D04">
      <w:pPr>
        <w:pStyle w:val="Paragraphedeliste"/>
        <w:numPr>
          <w:ilvl w:val="0"/>
          <w:numId w:val="19"/>
        </w:numPr>
        <w:jc w:val="both"/>
      </w:pPr>
      <w:r>
        <w:t>Des sessions d’information sur le respect des règles de marchés publics pourraient être organisées par l’autorité de gestion afin de sensibiliser les porteurs</w:t>
      </w:r>
      <w:r w:rsidR="00AE3E3E">
        <w:t xml:space="preserve"> de projet</w:t>
      </w:r>
      <w:r>
        <w:t xml:space="preserve"> aux règles de </w:t>
      </w:r>
      <w:r w:rsidR="00AE3E3E">
        <w:t>la commande publique.</w:t>
      </w:r>
      <w:r>
        <w:t xml:space="preserve"> </w:t>
      </w:r>
    </w:p>
    <w:p w14:paraId="0A095407" w14:textId="77777777" w:rsidR="00E95C14" w:rsidRDefault="00E95C14" w:rsidP="00364D04">
      <w:pPr>
        <w:pStyle w:val="Paragraphedeliste"/>
        <w:numPr>
          <w:ilvl w:val="0"/>
          <w:numId w:val="19"/>
        </w:numPr>
        <w:jc w:val="both"/>
      </w:pPr>
      <w:r>
        <w:t xml:space="preserve">ARACHNE peut être sollicité à différentes phases de vie du projet et de processus de vérification de gestion </w:t>
      </w:r>
      <w:r w:rsidR="00AE3E3E">
        <w:t>et peut être utilisé dans le cadre du contrôle du marché :</w:t>
      </w:r>
    </w:p>
    <w:p w14:paraId="22E94ECF" w14:textId="77777777" w:rsidR="00E95C14" w:rsidRDefault="00E95C14" w:rsidP="00364D04">
      <w:pPr>
        <w:pStyle w:val="Paragraphedeliste"/>
        <w:numPr>
          <w:ilvl w:val="0"/>
          <w:numId w:val="33"/>
        </w:numPr>
        <w:jc w:val="both"/>
      </w:pPr>
      <w:r>
        <w:t>A la sélection du projet, peuvent être vérifiés :</w:t>
      </w:r>
    </w:p>
    <w:p w14:paraId="6B8132DD" w14:textId="77777777" w:rsidR="00E95C14" w:rsidRDefault="00E95C14" w:rsidP="00364D04">
      <w:pPr>
        <w:pStyle w:val="Paragraphedeliste"/>
        <w:numPr>
          <w:ilvl w:val="2"/>
          <w:numId w:val="19"/>
        </w:numPr>
        <w:jc w:val="both"/>
      </w:pPr>
      <w:r>
        <w:t xml:space="preserve">La solidité ou la réputation d’un opérateur économique permettant d’être alerté sur son exposition à un risque de faillite </w:t>
      </w:r>
    </w:p>
    <w:p w14:paraId="5689360E" w14:textId="77777777" w:rsidR="00E95C14" w:rsidRDefault="00E95C14" w:rsidP="00364D04">
      <w:pPr>
        <w:pStyle w:val="Paragraphedeliste"/>
        <w:numPr>
          <w:ilvl w:val="2"/>
          <w:numId w:val="19"/>
        </w:numPr>
        <w:jc w:val="both"/>
      </w:pPr>
      <w:r>
        <w:t xml:space="preserve">Les conflits d’intérêt </w:t>
      </w:r>
      <w:r w:rsidR="00C76512">
        <w:t>potentiels :</w:t>
      </w:r>
      <w:r>
        <w:t xml:space="preserve"> identification des liens juridiques et personnels existant entre les parties prenantes du projet</w:t>
      </w:r>
    </w:p>
    <w:p w14:paraId="68EB94F8" w14:textId="77777777" w:rsidR="00E95C14" w:rsidRDefault="00E95C14" w:rsidP="00364D04">
      <w:pPr>
        <w:pStyle w:val="Paragraphedeliste"/>
        <w:numPr>
          <w:ilvl w:val="1"/>
          <w:numId w:val="19"/>
        </w:numPr>
        <w:jc w:val="both"/>
      </w:pPr>
      <w:r>
        <w:t>Lors la phase de mise en œuvre du projet, peuvent être vérifiés :</w:t>
      </w:r>
    </w:p>
    <w:p w14:paraId="30BEDECA" w14:textId="77777777" w:rsidR="00E95C14" w:rsidRDefault="00E95C14" w:rsidP="00364D04">
      <w:pPr>
        <w:pStyle w:val="Paragraphedeliste"/>
        <w:numPr>
          <w:ilvl w:val="2"/>
          <w:numId w:val="19"/>
        </w:numPr>
        <w:jc w:val="both"/>
      </w:pPr>
      <w:r>
        <w:t>Le respect des procédures de passation de marchés publics et notamment le fait qu’il n’y ait pas une quantité anormalement élevée de contrats acquis par procédure négociée comparé au coût total du projet</w:t>
      </w:r>
    </w:p>
    <w:p w14:paraId="2575A60E" w14:textId="77777777" w:rsidR="00E95C14" w:rsidRDefault="00E95C14" w:rsidP="00364D04">
      <w:pPr>
        <w:pStyle w:val="Paragraphedeliste"/>
        <w:numPr>
          <w:ilvl w:val="2"/>
          <w:numId w:val="19"/>
        </w:numPr>
        <w:jc w:val="both"/>
      </w:pPr>
      <w:r>
        <w:lastRenderedPageBreak/>
        <w:t>L’implication du partenaire ou du sous-traitant dans plusieurs projets au sein du même programme opérationnel ou dans d’autres, permettant aux autorités de gestion de détecter plus facilement d’éventuels doubles-financements.</w:t>
      </w:r>
    </w:p>
    <w:p w14:paraId="2D70232E" w14:textId="77777777" w:rsidR="00C25BA7" w:rsidRDefault="00E95C14" w:rsidP="00364D04">
      <w:pPr>
        <w:pStyle w:val="Paragraphedeliste"/>
        <w:numPr>
          <w:ilvl w:val="0"/>
          <w:numId w:val="19"/>
        </w:numPr>
        <w:jc w:val="both"/>
      </w:pPr>
      <w:r>
        <w:t>Il est également recommandé de s’appuyer sur le guide de la Commission européenne sur les marchés publics ainsi que le rapport de la Cour des comptes européenne sur les principales erreurs commises dans le cadre des marchés publics.</w:t>
      </w:r>
    </w:p>
    <w:p w14:paraId="4202691D" w14:textId="77777777" w:rsidR="002A50EC" w:rsidRDefault="00C7498E" w:rsidP="002A50EC">
      <w:pPr>
        <w:pStyle w:val="Titre1"/>
        <w:numPr>
          <w:ilvl w:val="0"/>
          <w:numId w:val="1"/>
        </w:numPr>
        <w:ind w:left="426"/>
      </w:pPr>
      <w:r>
        <w:t xml:space="preserve">Bibliographie </w:t>
      </w:r>
      <w:r w:rsidR="008A578D">
        <w:t>et r</w:t>
      </w:r>
      <w:r w:rsidR="002A50EC">
        <w:t>éférences</w:t>
      </w:r>
    </w:p>
    <w:p w14:paraId="7187495C" w14:textId="77777777" w:rsidR="002A50EC" w:rsidRDefault="002A50EC" w:rsidP="002A50EC"/>
    <w:p w14:paraId="6E1647BA" w14:textId="77777777" w:rsidR="002A50EC" w:rsidRDefault="002A50EC" w:rsidP="00364D04">
      <w:pPr>
        <w:pStyle w:val="Paragraphedeliste"/>
        <w:numPr>
          <w:ilvl w:val="0"/>
          <w:numId w:val="16"/>
        </w:numPr>
        <w:tabs>
          <w:tab w:val="left" w:pos="1875"/>
        </w:tabs>
        <w:jc w:val="both"/>
      </w:pPr>
      <w:r w:rsidRPr="001966E3">
        <w:t>RÈGLEMENT (UE) n°1303/2013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 ° 1083/2006 du Conseil</w:t>
      </w:r>
    </w:p>
    <w:p w14:paraId="67CAADC5" w14:textId="77777777" w:rsidR="000A3B39" w:rsidRDefault="000A3B39" w:rsidP="00364D04">
      <w:pPr>
        <w:tabs>
          <w:tab w:val="left" w:pos="1875"/>
        </w:tabs>
      </w:pPr>
    </w:p>
    <w:p w14:paraId="65793A80" w14:textId="77777777" w:rsidR="002A50EC" w:rsidRDefault="002A50EC" w:rsidP="00364D04">
      <w:pPr>
        <w:pStyle w:val="Paragraphedeliste"/>
        <w:numPr>
          <w:ilvl w:val="0"/>
          <w:numId w:val="16"/>
        </w:numPr>
        <w:tabs>
          <w:tab w:val="left" w:pos="1875"/>
        </w:tabs>
        <w:jc w:val="both"/>
      </w:pPr>
      <w:r w:rsidRPr="001966E3">
        <w:t>Règlement d'exécution (UE) 2015/207 de la Commission du 20 janvier 2015 portant modalités d'application du règlement (UE) n ° 1303/2013 du Parlement européen et du Conseil en ce qui concerne les modèles de rapport d'avancement, de présentation des informations relatives aux grands projets, de plan d'action commun, de rapport de mise en œuvre pour l'objectif «Investissement pour la croissance et l'emploi» , de déclaration de gestion, de stratégie d'audit, d'avis d'audit et de rapport annuel de contrôle ainsi que la méthode d'analyse coûts-avantages et, en application du règlement (UE) n ° 1299/2013 du Parlement européen et du Conseil, en ce qui concerne le modèle de rapport de mise en œuvre pour l'objectif «Coopération territoriale européenne»</w:t>
      </w:r>
    </w:p>
    <w:p w14:paraId="76C63BD4" w14:textId="77777777" w:rsidR="004B3E0E" w:rsidRDefault="004B3E0E" w:rsidP="00364D04">
      <w:pPr>
        <w:pStyle w:val="Paragraphedeliste"/>
        <w:tabs>
          <w:tab w:val="left" w:pos="1875"/>
        </w:tabs>
        <w:jc w:val="both"/>
      </w:pPr>
    </w:p>
    <w:p w14:paraId="2DF23378" w14:textId="77777777" w:rsidR="0080050B" w:rsidRDefault="0080050B" w:rsidP="00364D04">
      <w:pPr>
        <w:pStyle w:val="Paragraphedeliste"/>
        <w:numPr>
          <w:ilvl w:val="0"/>
          <w:numId w:val="16"/>
        </w:numPr>
        <w:tabs>
          <w:tab w:val="left" w:pos="1875"/>
        </w:tabs>
        <w:jc w:val="both"/>
      </w:pPr>
      <w:r>
        <w:t>RÈGLEMENT DÉLÉGUÉ (UE) N o 1268/2012 DE LA COMMISSION du 29 octobre 2012 relatif aux règles d’application du règlement (UE, Euratom) n o 966/2012 du Parlement européen et du Conseil relatif aux règles financières applicables au budget général de l’Union – Titre V – Chapitre 1</w:t>
      </w:r>
    </w:p>
    <w:p w14:paraId="3FAD5B62" w14:textId="77777777" w:rsidR="004B3E0E" w:rsidRDefault="004B3E0E" w:rsidP="00364D04">
      <w:pPr>
        <w:pStyle w:val="Paragraphedeliste"/>
        <w:tabs>
          <w:tab w:val="left" w:pos="1875"/>
        </w:tabs>
        <w:jc w:val="both"/>
      </w:pPr>
    </w:p>
    <w:p w14:paraId="7897A1CE" w14:textId="77777777" w:rsidR="004B3E0E" w:rsidRDefault="004B3E0E" w:rsidP="00364D04">
      <w:pPr>
        <w:pStyle w:val="Paragraphedeliste"/>
        <w:numPr>
          <w:ilvl w:val="0"/>
          <w:numId w:val="16"/>
        </w:numPr>
        <w:tabs>
          <w:tab w:val="left" w:pos="1875"/>
        </w:tabs>
        <w:jc w:val="both"/>
      </w:pPr>
      <w:r w:rsidRPr="004B3E0E">
        <w:t>Directive 2014/25/UE du Parlement européen et du Conseil du 26 février 2014 relative à la passation de marchés par des entités opérant dans les secteurs de l’eau, de l’énergie, des transports et des services postaux et ab</w:t>
      </w:r>
      <w:r>
        <w:t>rogeant la directive 2004/17/CE</w:t>
      </w:r>
    </w:p>
    <w:p w14:paraId="6C27488E" w14:textId="77777777" w:rsidR="004B3E0E" w:rsidRDefault="004B3E0E" w:rsidP="00364D04">
      <w:pPr>
        <w:pStyle w:val="Paragraphedeliste"/>
        <w:tabs>
          <w:tab w:val="left" w:pos="1875"/>
        </w:tabs>
        <w:jc w:val="both"/>
      </w:pPr>
    </w:p>
    <w:p w14:paraId="3A175F01" w14:textId="77777777" w:rsidR="004B3E0E" w:rsidRDefault="004B3E0E" w:rsidP="00364D04">
      <w:pPr>
        <w:pStyle w:val="Paragraphedeliste"/>
        <w:numPr>
          <w:ilvl w:val="0"/>
          <w:numId w:val="16"/>
        </w:numPr>
        <w:tabs>
          <w:tab w:val="left" w:pos="1875"/>
        </w:tabs>
        <w:jc w:val="both"/>
      </w:pPr>
      <w:r w:rsidRPr="004B3E0E">
        <w:t>Décision C</w:t>
      </w:r>
      <w:r w:rsidR="00787378">
        <w:t xml:space="preserve"> </w:t>
      </w:r>
      <w:r w:rsidRPr="004B3E0E">
        <w:t>(2013) 9527 de la Commission du 19 décembre 2013 relative à l'établissement et à l'approbation des orientations pour la détermination des corrections financières à appliquer par la Commission aux dépenses financées par l'Union dans le cadre de la gestion partagée en cas de non-respect des règle</w:t>
      </w:r>
      <w:r>
        <w:t>s en matière de marchés publics</w:t>
      </w:r>
    </w:p>
    <w:p w14:paraId="2DA4871A" w14:textId="77777777" w:rsidR="004B3E0E" w:rsidRDefault="004B3E0E" w:rsidP="00364D04">
      <w:pPr>
        <w:pStyle w:val="Paragraphedeliste"/>
        <w:tabs>
          <w:tab w:val="left" w:pos="1875"/>
        </w:tabs>
        <w:jc w:val="both"/>
      </w:pPr>
    </w:p>
    <w:p w14:paraId="1BDFACD7" w14:textId="77777777" w:rsidR="004B3E0E" w:rsidRDefault="004B3E0E" w:rsidP="00364D04">
      <w:pPr>
        <w:pStyle w:val="Paragraphedeliste"/>
        <w:numPr>
          <w:ilvl w:val="0"/>
          <w:numId w:val="16"/>
        </w:numPr>
        <w:tabs>
          <w:tab w:val="left" w:pos="1875"/>
        </w:tabs>
        <w:jc w:val="both"/>
      </w:pPr>
      <w:r w:rsidRPr="004B3E0E">
        <w:t>Communication interprétative de la Commission relative au droit communautaire applicable aux passations de marchés non soumises ou partiellement soumises aux directives</w:t>
      </w:r>
      <w:r w:rsidR="00C76512" w:rsidRPr="004B3E0E">
        <w:t xml:space="preserve"> « marchés</w:t>
      </w:r>
      <w:r>
        <w:t xml:space="preserve"> publics »</w:t>
      </w:r>
      <w:r w:rsidRPr="004B3E0E">
        <w:t xml:space="preserve"> (2006/C 179/02)</w:t>
      </w:r>
      <w:r>
        <w:t xml:space="preserve"> </w:t>
      </w:r>
    </w:p>
    <w:p w14:paraId="6EF67704" w14:textId="77777777" w:rsidR="004B3E0E" w:rsidRDefault="004B3E0E" w:rsidP="00364D04">
      <w:pPr>
        <w:pStyle w:val="Paragraphedeliste"/>
        <w:tabs>
          <w:tab w:val="left" w:pos="1875"/>
        </w:tabs>
        <w:jc w:val="both"/>
      </w:pPr>
    </w:p>
    <w:p w14:paraId="0040B62A" w14:textId="77777777" w:rsidR="004B3E0E" w:rsidRDefault="004B3E0E" w:rsidP="00364D04">
      <w:pPr>
        <w:pStyle w:val="Paragraphedeliste"/>
        <w:numPr>
          <w:ilvl w:val="0"/>
          <w:numId w:val="16"/>
        </w:numPr>
        <w:tabs>
          <w:tab w:val="left" w:pos="1875"/>
        </w:tabs>
        <w:jc w:val="both"/>
      </w:pPr>
      <w:r>
        <w:lastRenderedPageBreak/>
        <w:t xml:space="preserve">Document d’orientation de la Commission </w:t>
      </w:r>
      <w:r w:rsidR="00C76512">
        <w:t>européenne à</w:t>
      </w:r>
      <w:r>
        <w:t xml:space="preserve"> l'usage des États membres sur les vérifications de gestion chapitre 2.1, p 19.</w:t>
      </w:r>
    </w:p>
    <w:p w14:paraId="4D991757" w14:textId="77777777" w:rsidR="0080050B" w:rsidRDefault="0080050B" w:rsidP="00364D04">
      <w:pPr>
        <w:pStyle w:val="Paragraphedeliste"/>
        <w:tabs>
          <w:tab w:val="left" w:pos="1875"/>
        </w:tabs>
        <w:jc w:val="both"/>
      </w:pPr>
    </w:p>
    <w:p w14:paraId="05213349" w14:textId="77777777" w:rsidR="0080050B" w:rsidRDefault="0080050B" w:rsidP="00364D04">
      <w:pPr>
        <w:pStyle w:val="Paragraphedeliste"/>
        <w:numPr>
          <w:ilvl w:val="0"/>
          <w:numId w:val="16"/>
        </w:numPr>
        <w:tabs>
          <w:tab w:val="left" w:pos="1875"/>
        </w:tabs>
        <w:jc w:val="both"/>
      </w:pPr>
      <w:r>
        <w:t>Décret n°2016-279 du 8 mars 2016 fixant les règles nationales d’éligibilité des dépenses dans le cadre des programmes soutenus par les fonds structurels et d’investissement européens pour la période 2014-2020.</w:t>
      </w:r>
    </w:p>
    <w:p w14:paraId="65B92EBD" w14:textId="77777777" w:rsidR="0080050B" w:rsidRDefault="0080050B" w:rsidP="00364D04">
      <w:pPr>
        <w:pStyle w:val="Paragraphedeliste"/>
        <w:tabs>
          <w:tab w:val="left" w:pos="1875"/>
        </w:tabs>
        <w:jc w:val="both"/>
      </w:pPr>
    </w:p>
    <w:p w14:paraId="0C4303D9" w14:textId="77777777" w:rsidR="0080050B" w:rsidRDefault="0080050B" w:rsidP="00364D04">
      <w:pPr>
        <w:pStyle w:val="Paragraphedeliste"/>
        <w:numPr>
          <w:ilvl w:val="0"/>
          <w:numId w:val="16"/>
        </w:numPr>
        <w:tabs>
          <w:tab w:val="left" w:pos="1875"/>
        </w:tabs>
        <w:jc w:val="both"/>
      </w:pPr>
      <w:r>
        <w:t>Arrêté du 8 mars 2016 pris en application du décret n°2016-279 du 8 mars 2016 fixant les règles nationales d’éligibilité des dépenses des programmes européens pour la période 2014-2020.</w:t>
      </w:r>
    </w:p>
    <w:p w14:paraId="01F740A0" w14:textId="77777777" w:rsidR="0080050B" w:rsidRDefault="0080050B" w:rsidP="00364D04">
      <w:pPr>
        <w:pStyle w:val="Paragraphedeliste"/>
        <w:tabs>
          <w:tab w:val="left" w:pos="1875"/>
        </w:tabs>
        <w:jc w:val="both"/>
      </w:pPr>
    </w:p>
    <w:p w14:paraId="0576F4B9" w14:textId="77777777" w:rsidR="0080050B" w:rsidRDefault="0080050B" w:rsidP="00364D04">
      <w:pPr>
        <w:pStyle w:val="Paragraphedeliste"/>
        <w:numPr>
          <w:ilvl w:val="0"/>
          <w:numId w:val="16"/>
        </w:numPr>
        <w:tabs>
          <w:tab w:val="left" w:pos="1875"/>
        </w:tabs>
        <w:jc w:val="both"/>
      </w:pPr>
      <w:r>
        <w:t>Guide relatif au dispositif de suivi, gestion et de contrôle des programmes opérationnels et des programmes de développement rural (FEDER, FSE, FEADER, FEAMP) relevant du cadre stratégique commun (CSC) de la période 2014-2020. </w:t>
      </w:r>
    </w:p>
    <w:p w14:paraId="3F971255" w14:textId="77777777" w:rsidR="0080050B" w:rsidRDefault="0080050B" w:rsidP="00364D04">
      <w:pPr>
        <w:pStyle w:val="Paragraphedeliste"/>
        <w:tabs>
          <w:tab w:val="left" w:pos="1875"/>
        </w:tabs>
        <w:jc w:val="both"/>
      </w:pPr>
    </w:p>
    <w:p w14:paraId="21A72F66" w14:textId="77777777" w:rsidR="0080050B" w:rsidRDefault="0080050B" w:rsidP="00364D04">
      <w:pPr>
        <w:pStyle w:val="Paragraphedeliste"/>
        <w:numPr>
          <w:ilvl w:val="0"/>
          <w:numId w:val="16"/>
        </w:numPr>
        <w:tabs>
          <w:tab w:val="left" w:pos="1875"/>
        </w:tabs>
        <w:jc w:val="both"/>
      </w:pPr>
      <w:r>
        <w:t xml:space="preserve"> </w:t>
      </w:r>
      <w:r w:rsidRPr="0080050B">
        <w:t>Guide d’orientation à destination des praticiens : Comment éviter les erreurs les plus fréquentes commises dans le cadre des marchés publics de projets financés par les FESI, Commission européenne</w:t>
      </w:r>
    </w:p>
    <w:p w14:paraId="25D20F28" w14:textId="77777777" w:rsidR="0080050B" w:rsidRDefault="0080050B" w:rsidP="00364D04">
      <w:pPr>
        <w:tabs>
          <w:tab w:val="left" w:pos="1875"/>
        </w:tabs>
      </w:pPr>
    </w:p>
    <w:p w14:paraId="069C46BB" w14:textId="77777777" w:rsidR="00C27CCB" w:rsidRDefault="00C27CCB" w:rsidP="00364D04">
      <w:pPr>
        <w:pStyle w:val="Paragraphedeliste"/>
        <w:numPr>
          <w:ilvl w:val="0"/>
          <w:numId w:val="16"/>
        </w:numPr>
        <w:tabs>
          <w:tab w:val="left" w:pos="1875"/>
        </w:tabs>
        <w:jc w:val="both"/>
      </w:pPr>
      <w:r>
        <w:t>Fiche contrôle CICC</w:t>
      </w:r>
      <w:r w:rsidR="004B3E0E">
        <w:t xml:space="preserve"> : </w:t>
      </w:r>
      <w:r w:rsidR="004B3E0E" w:rsidRPr="004B3E0E">
        <w:t>liste de contrôles CICC à destination des auditeurs - outil d'appui/MP</w:t>
      </w:r>
    </w:p>
    <w:p w14:paraId="34521534" w14:textId="77777777" w:rsidR="00030E11" w:rsidRDefault="00030E11" w:rsidP="00364D04">
      <w:pPr>
        <w:pStyle w:val="Paragraphedeliste"/>
        <w:tabs>
          <w:tab w:val="left" w:pos="1875"/>
        </w:tabs>
        <w:jc w:val="both"/>
      </w:pPr>
    </w:p>
    <w:p w14:paraId="4C04383E" w14:textId="77777777" w:rsidR="00030E11" w:rsidRPr="009072D4" w:rsidRDefault="00030E11" w:rsidP="00364D04">
      <w:pPr>
        <w:pStyle w:val="Paragraphedeliste"/>
        <w:numPr>
          <w:ilvl w:val="0"/>
          <w:numId w:val="16"/>
        </w:numPr>
        <w:tabs>
          <w:tab w:val="left" w:pos="1875"/>
        </w:tabs>
        <w:jc w:val="both"/>
        <w:rPr>
          <w:rStyle w:val="Lienhypertexte"/>
          <w:color w:val="auto"/>
          <w:u w:val="none"/>
        </w:rPr>
      </w:pPr>
      <w:r>
        <w:t xml:space="preserve">Site de la DAJ : </w:t>
      </w:r>
      <w:hyperlink r:id="rId25" w:history="1">
        <w:r w:rsidRPr="003B1CD1">
          <w:rPr>
            <w:rStyle w:val="Lienhypertexte"/>
          </w:rPr>
          <w:t>https://www.economie.gouv.fr/daj/commande-publique</w:t>
        </w:r>
      </w:hyperlink>
    </w:p>
    <w:p w14:paraId="58EE7FE2" w14:textId="77777777" w:rsidR="009072D4" w:rsidRPr="007C1BFE" w:rsidRDefault="009072D4" w:rsidP="009072D4">
      <w:pPr>
        <w:pStyle w:val="Paragraphedeliste"/>
        <w:tabs>
          <w:tab w:val="left" w:pos="1875"/>
        </w:tabs>
        <w:jc w:val="both"/>
        <w:rPr>
          <w:rStyle w:val="Lienhypertexte"/>
          <w:color w:val="auto"/>
          <w:u w:val="none"/>
        </w:rPr>
      </w:pPr>
    </w:p>
    <w:p w14:paraId="50ACE761" w14:textId="77777777" w:rsidR="007C1BFE" w:rsidRDefault="007C1BFE" w:rsidP="007C1BFE">
      <w:pPr>
        <w:pStyle w:val="Paragraphedeliste"/>
        <w:numPr>
          <w:ilvl w:val="0"/>
          <w:numId w:val="16"/>
        </w:numPr>
        <w:tabs>
          <w:tab w:val="left" w:pos="1875"/>
        </w:tabs>
        <w:jc w:val="both"/>
      </w:pPr>
      <w:r>
        <w:t>Trames communes</w:t>
      </w:r>
      <w:r w:rsidR="009072D4">
        <w:t xml:space="preserve"> CGET</w:t>
      </w:r>
      <w:r>
        <w:t xml:space="preserve"> : </w:t>
      </w:r>
      <w:hyperlink r:id="rId26" w:history="1">
        <w:r w:rsidRPr="00007860">
          <w:rPr>
            <w:rStyle w:val="Lienhypertexte"/>
          </w:rPr>
          <w:t>https://icget.cget.gouv.fr/group/1797/document/explorer</w:t>
        </w:r>
      </w:hyperlink>
    </w:p>
    <w:p w14:paraId="14354BC2" w14:textId="77777777" w:rsidR="009072D4" w:rsidRDefault="009072D4" w:rsidP="009072D4">
      <w:pPr>
        <w:pStyle w:val="Paragraphedeliste"/>
        <w:tabs>
          <w:tab w:val="left" w:pos="1875"/>
        </w:tabs>
        <w:jc w:val="both"/>
      </w:pPr>
    </w:p>
    <w:p w14:paraId="5BA80AF2" w14:textId="77777777" w:rsidR="007C1BFE" w:rsidRDefault="007C1BFE" w:rsidP="009072D4">
      <w:pPr>
        <w:pStyle w:val="Paragraphedeliste"/>
        <w:numPr>
          <w:ilvl w:val="0"/>
          <w:numId w:val="16"/>
        </w:numPr>
        <w:tabs>
          <w:tab w:val="left" w:pos="1875"/>
        </w:tabs>
      </w:pPr>
      <w:r>
        <w:t>FAQ (voir Q/R sur les marchés publics) </w:t>
      </w:r>
      <w:r w:rsidR="009072D4">
        <w:t xml:space="preserve">CGET </w:t>
      </w:r>
      <w:r>
        <w:t xml:space="preserve">: </w:t>
      </w:r>
      <w:hyperlink r:id="rId27" w:history="1">
        <w:r w:rsidR="009072D4" w:rsidRPr="00007860">
          <w:rPr>
            <w:rStyle w:val="Lienhypertexte"/>
          </w:rPr>
          <w:t>https://icget.cget.gouv.fr/group/1797/document/140905</w:t>
        </w:r>
      </w:hyperlink>
    </w:p>
    <w:p w14:paraId="58B8CBF7" w14:textId="77777777" w:rsidR="009072D4" w:rsidRDefault="009072D4" w:rsidP="009072D4">
      <w:pPr>
        <w:pStyle w:val="Paragraphedeliste"/>
        <w:tabs>
          <w:tab w:val="left" w:pos="1875"/>
        </w:tabs>
        <w:jc w:val="both"/>
      </w:pPr>
    </w:p>
    <w:p w14:paraId="4475ABB4" w14:textId="77777777" w:rsidR="00030E11" w:rsidRDefault="00030E11" w:rsidP="00030E11">
      <w:pPr>
        <w:pStyle w:val="Paragraphedeliste"/>
        <w:tabs>
          <w:tab w:val="left" w:pos="1875"/>
        </w:tabs>
        <w:jc w:val="both"/>
      </w:pPr>
    </w:p>
    <w:p w14:paraId="71490496" w14:textId="77777777" w:rsidR="000A3B39" w:rsidRDefault="000A3B39" w:rsidP="009D5C57">
      <w:pPr>
        <w:tabs>
          <w:tab w:val="left" w:pos="1875"/>
        </w:tabs>
      </w:pPr>
    </w:p>
    <w:p w14:paraId="1941D36C" w14:textId="77777777" w:rsidR="00F74542" w:rsidRDefault="00F74542" w:rsidP="002A50EC">
      <w:pPr>
        <w:rPr>
          <w:b/>
        </w:rPr>
      </w:pPr>
    </w:p>
    <w:bookmarkEnd w:id="0"/>
    <w:p w14:paraId="0D58A37D" w14:textId="77777777" w:rsidR="00F74542" w:rsidRDefault="00F74542" w:rsidP="002A50EC">
      <w:pPr>
        <w:rPr>
          <w:b/>
        </w:rPr>
      </w:pPr>
    </w:p>
    <w:sectPr w:rsidR="00F74542" w:rsidSect="00DD08CB">
      <w:headerReference w:type="default" r:id="rId28"/>
      <w:footerReference w:type="even" r:id="rId29"/>
      <w:footerReference w:type="default" r:id="rId30"/>
      <w:pgSz w:w="11906" w:h="16838"/>
      <w:pgMar w:top="993" w:right="1417" w:bottom="1276" w:left="1417" w:header="70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65C61" w14:textId="77777777" w:rsidR="00FF0E51" w:rsidRDefault="00FF0E51" w:rsidP="005A4B44">
      <w:pPr>
        <w:spacing w:line="240" w:lineRule="auto"/>
      </w:pPr>
      <w:r>
        <w:separator/>
      </w:r>
    </w:p>
  </w:endnote>
  <w:endnote w:type="continuationSeparator" w:id="0">
    <w:p w14:paraId="111EF98A" w14:textId="77777777" w:rsidR="00FF0E51" w:rsidRDefault="00FF0E51" w:rsidP="005A4B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T Serif">
    <w:altName w:val="Arial"/>
    <w:charset w:val="00"/>
    <w:family w:val="roman"/>
    <w:pitch w:val="variable"/>
    <w:sig w:usb0="A00002EF" w:usb1="5000204B" w:usb2="00000000" w:usb3="00000000" w:csb0="00000097"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C Square Sans Pro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1BDB" w14:textId="77777777" w:rsidR="00A54C03" w:rsidRDefault="00A54C03">
    <w:pPr>
      <w:pStyle w:val="Pieddepage"/>
    </w:pPr>
    <w:r>
      <w:rPr>
        <w:noProof/>
        <w:lang w:eastAsia="fr-FR"/>
      </w:rPr>
      <w:drawing>
        <wp:inline distT="0" distB="0" distL="0" distR="0" wp14:anchorId="558A180E" wp14:editId="2DC9A588">
          <wp:extent cx="5759450" cy="1060734"/>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60734"/>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1C4C8" w14:textId="77777777" w:rsidR="00A54C03" w:rsidRDefault="00A54C03">
    <w:pPr>
      <w:pStyle w:val="Pieddepage"/>
    </w:pPr>
    <w:r>
      <w:rPr>
        <w:noProof/>
        <w:lang w:eastAsia="fr-FR"/>
      </w:rPr>
      <w:drawing>
        <wp:inline distT="0" distB="0" distL="0" distR="0" wp14:anchorId="2BE02115" wp14:editId="5061F1D4">
          <wp:extent cx="5759450" cy="1060734"/>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60734"/>
                  </a:xfrm>
                  <a:prstGeom prst="rect">
                    <a:avLst/>
                  </a:prstGeom>
                  <a:noFill/>
                </pic:spPr>
              </pic:pic>
            </a:graphicData>
          </a:graphic>
        </wp:inline>
      </w:drawing>
    </w:r>
  </w:p>
  <w:p w14:paraId="6087054B" w14:textId="77777777" w:rsidR="00A54C03" w:rsidRDefault="00A54C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BCA28" w14:textId="77777777" w:rsidR="00FF0E51" w:rsidRPr="005A4B44" w:rsidRDefault="00FF0E51" w:rsidP="005A4B44">
      <w:pPr>
        <w:spacing w:line="240" w:lineRule="auto"/>
        <w:rPr>
          <w:color w:val="35738B"/>
        </w:rPr>
      </w:pPr>
      <w:r w:rsidRPr="005A4B44">
        <w:rPr>
          <w:color w:val="35738B"/>
        </w:rPr>
        <w:separator/>
      </w:r>
    </w:p>
  </w:footnote>
  <w:footnote w:type="continuationSeparator" w:id="0">
    <w:p w14:paraId="47A55E6E" w14:textId="77777777" w:rsidR="00FF0E51" w:rsidRPr="005A4B44" w:rsidRDefault="00FF0E51" w:rsidP="005A4B44">
      <w:pPr>
        <w:spacing w:line="240" w:lineRule="auto"/>
        <w:rPr>
          <w:color w:val="35738B"/>
        </w:rPr>
      </w:pPr>
      <w:r w:rsidRPr="005A4B44">
        <w:rPr>
          <w:color w:val="35738B"/>
        </w:rPr>
        <w:continuationSeparator/>
      </w:r>
    </w:p>
  </w:footnote>
  <w:footnote w:id="1">
    <w:p w14:paraId="58872BA1" w14:textId="77777777" w:rsidR="00A54C03" w:rsidRPr="00360772" w:rsidRDefault="00A54C03" w:rsidP="006C47C6">
      <w:pPr>
        <w:pStyle w:val="Notedebasdepage"/>
      </w:pPr>
      <w:r w:rsidRPr="00360772">
        <w:rPr>
          <w:rStyle w:val="Appelnotedebasdep"/>
          <w:szCs w:val="16"/>
        </w:rPr>
        <w:footnoteRef/>
      </w:r>
      <w:r w:rsidRPr="00360772">
        <w:t xml:space="preserve"> Article 6 du règlement général 1303/2013</w:t>
      </w:r>
    </w:p>
  </w:footnote>
  <w:footnote w:id="2">
    <w:p w14:paraId="54A1A29E" w14:textId="77777777" w:rsidR="00A54C03" w:rsidRDefault="00A54C03" w:rsidP="006C47C6">
      <w:pPr>
        <w:pStyle w:val="Notedebasdepage"/>
      </w:pPr>
      <w:r>
        <w:rPr>
          <w:rStyle w:val="Appelnotedebasdep"/>
        </w:rPr>
        <w:footnoteRef/>
      </w:r>
      <w:r>
        <w:t xml:space="preserve"> L'article 38 de la loi autorise le Gouvernement à procéder par voie d’ordonnance, dans un délai de vingt-quatre mois à compter de la promulgation de la loi, à l’adoption de la partie législative du code de la commande publique. Autrement dit, un code regroupera et organisera les règles relatives aux différents contrats de la commande publique. Il s'agit donc de l'ordonnance n° 2015-899 du 23 juillet 2015 relative aux marchés publics et de l’ordonnance n° 2016-65 du 29 janvier 2016 relative aux contrats de concession.</w:t>
      </w:r>
    </w:p>
    <w:p w14:paraId="57E86D26" w14:textId="77777777" w:rsidR="00A54C03" w:rsidRDefault="00A54C03" w:rsidP="006C47C6">
      <w:pPr>
        <w:pStyle w:val="Notedebasdepage"/>
      </w:pPr>
    </w:p>
  </w:footnote>
  <w:footnote w:id="3">
    <w:p w14:paraId="0AB03E46" w14:textId="77777777" w:rsidR="00A54C03" w:rsidRPr="00CA2C21" w:rsidRDefault="00A54C03" w:rsidP="006C47C6">
      <w:pPr>
        <w:pStyle w:val="Notedebasdepage"/>
      </w:pPr>
      <w:r w:rsidRPr="00CA2C21">
        <w:rPr>
          <w:rStyle w:val="Appelnotedebasdep"/>
          <w:szCs w:val="16"/>
        </w:rPr>
        <w:footnoteRef/>
      </w:r>
      <w:r w:rsidRPr="00CA2C21">
        <w:t xml:space="preserve"> Définition des notions de pouvoirs adjudicateurs et des entités adjudicatrices soumis à l’ordonnance du 23 juillet 2015 relative aux marchés publics. </w:t>
      </w:r>
    </w:p>
  </w:footnote>
  <w:footnote w:id="4">
    <w:p w14:paraId="2651B363" w14:textId="7E4B3A70" w:rsidR="00A54C03" w:rsidRPr="006976A7" w:rsidRDefault="00A54C03" w:rsidP="006C47C6">
      <w:pPr>
        <w:pStyle w:val="Notedebasdepage"/>
      </w:pPr>
      <w:r w:rsidRPr="006976A7">
        <w:rPr>
          <w:rStyle w:val="Appelnotedebasdep"/>
          <w:szCs w:val="16"/>
        </w:rPr>
        <w:footnoteRef/>
      </w:r>
      <w:r w:rsidRPr="006976A7">
        <w:t xml:space="preserve"> Attention de bien vérifier que cette fiche a été actualisée au regard de la nouvelle réglementation nationale sur les marchés publics. Voir également l’article 7 de l’ordonnance de 2015</w:t>
      </w:r>
      <w:r w:rsidR="00046243">
        <w:t xml:space="preserve"> (Mise à jour </w:t>
      </w:r>
      <w:r w:rsidR="005D0027">
        <w:t xml:space="preserve">AG </w:t>
      </w:r>
      <w:r w:rsidR="00046243">
        <w:t xml:space="preserve">juin 2020 : </w:t>
      </w:r>
      <w:r w:rsidR="00A62183">
        <w:t>Fiche DAJ mise à jour le 1</w:t>
      </w:r>
      <w:r w:rsidR="00A62183" w:rsidRPr="00A62183">
        <w:rPr>
          <w:vertAlign w:val="superscript"/>
        </w:rPr>
        <w:t>er</w:t>
      </w:r>
      <w:r w:rsidR="00A62183">
        <w:t xml:space="preserve"> avril 2019 </w:t>
      </w:r>
      <w:r w:rsidR="00046243">
        <w:t>« Commande publique et autres contrats »)</w:t>
      </w:r>
      <w:r w:rsidRPr="006976A7">
        <w:t>.</w:t>
      </w:r>
    </w:p>
  </w:footnote>
  <w:footnote w:id="5">
    <w:p w14:paraId="275B9A09" w14:textId="77777777" w:rsidR="00A54C03" w:rsidRPr="006976A7" w:rsidRDefault="00A54C03" w:rsidP="006C47C6">
      <w:pPr>
        <w:pStyle w:val="Notedebasdepage"/>
      </w:pPr>
      <w:r w:rsidRPr="006976A7">
        <w:rPr>
          <w:rStyle w:val="Appelnotedebasdep"/>
          <w:szCs w:val="16"/>
        </w:rPr>
        <w:footnoteRef/>
      </w:r>
      <w:r w:rsidRPr="006976A7">
        <w:t xml:space="preserve"> Pour plus de détails : </w:t>
      </w:r>
      <w:hyperlink r:id="rId1" w:history="1">
        <w:r w:rsidRPr="006976A7">
          <w:rPr>
            <w:rStyle w:val="Lienhypertexte"/>
            <w:szCs w:val="16"/>
          </w:rPr>
          <w:t>http://ec.europa.eu/regional_policy/sources/docoffic/cocof/2013/cocof_13_9527_fr.pdf</w:t>
        </w:r>
      </w:hyperlink>
      <w:r w:rsidRPr="006976A7">
        <w:t xml:space="preserve"> </w:t>
      </w:r>
    </w:p>
  </w:footnote>
  <w:footnote w:id="6">
    <w:p w14:paraId="0031002C" w14:textId="77777777" w:rsidR="00A54C03" w:rsidRPr="006976A7" w:rsidRDefault="00A54C03" w:rsidP="006C47C6">
      <w:pPr>
        <w:pStyle w:val="Notedebasdepage"/>
      </w:pPr>
      <w:r w:rsidRPr="006976A7">
        <w:rPr>
          <w:rStyle w:val="Appelnotedebasdep"/>
          <w:szCs w:val="16"/>
        </w:rPr>
        <w:footnoteRef/>
      </w:r>
      <w:r w:rsidRPr="006976A7">
        <w:t xml:space="preserve">   </w:t>
      </w:r>
      <w:hyperlink r:id="rId2" w:history="1">
        <w:r w:rsidRPr="006976A7">
          <w:rPr>
            <w:rStyle w:val="Lienhypertexte"/>
            <w:szCs w:val="16"/>
          </w:rPr>
          <w:t>Guide d’orientation à destination des praticiens : Comment éviter les erreurs les plus fréquentes commises dans le cadre des marchés publics de projets financés par les FESI</w:t>
        </w:r>
      </w:hyperlink>
      <w:r w:rsidRPr="006976A7">
        <w:t>, Commission européenne – DG REGIO, 2015, p.11-12.</w:t>
      </w:r>
    </w:p>
  </w:footnote>
  <w:footnote w:id="7">
    <w:p w14:paraId="72E05499" w14:textId="77777777" w:rsidR="00A54C03" w:rsidRDefault="00A54C03" w:rsidP="006C47C6">
      <w:pPr>
        <w:pStyle w:val="Notedebasdepage"/>
      </w:pPr>
      <w:r>
        <w:rPr>
          <w:rStyle w:val="Appelnotedebasdep"/>
        </w:rPr>
        <w:footnoteRef/>
      </w:r>
      <w:r>
        <w:t xml:space="preserve"> A noter que ces seuils sont révisés tous les deux ans par la Commission européenne.</w:t>
      </w:r>
    </w:p>
  </w:footnote>
  <w:footnote w:id="8">
    <w:p w14:paraId="231A6FC4" w14:textId="2B7E3161" w:rsidR="00A54C03" w:rsidRPr="00F20A3A" w:rsidRDefault="00A54C03" w:rsidP="006C47C6">
      <w:pPr>
        <w:pStyle w:val="Notedebasdepage"/>
      </w:pPr>
      <w:r>
        <w:rPr>
          <w:rStyle w:val="Appelnotedebasdep"/>
        </w:rPr>
        <w:footnoteRef/>
      </w:r>
      <w:r w:rsidRPr="00F20A3A">
        <w:t xml:space="preserve"> Fiche DAJ : </w:t>
      </w:r>
      <w:hyperlink r:id="rId3" w:history="1">
        <w:r w:rsidRPr="00F20A3A">
          <w:rPr>
            <w:rStyle w:val="Lienhypertexte"/>
          </w:rPr>
          <w:t>https://www.economie.gouv.fr/daj/allotissement-et-contrats-globaux-2016</w:t>
        </w:r>
      </w:hyperlink>
      <w:r w:rsidR="005D0027" w:rsidRPr="00F20A3A">
        <w:rPr>
          <w:rStyle w:val="Lienhypertexte"/>
        </w:rPr>
        <w:t xml:space="preserve"> </w:t>
      </w:r>
      <w:r w:rsidR="005D0027">
        <w:t>(Mise à jour AG juin 2020 : Fiche DAJ mise à jour le 1</w:t>
      </w:r>
      <w:r w:rsidR="005D0027" w:rsidRPr="00A62183">
        <w:rPr>
          <w:vertAlign w:val="superscript"/>
        </w:rPr>
        <w:t>er</w:t>
      </w:r>
      <w:r w:rsidR="005D0027">
        <w:t xml:space="preserve"> avril 2019 « Allotissement dans les marchés »)</w:t>
      </w:r>
      <w:r w:rsidR="005D0027" w:rsidRPr="006976A7">
        <w:t>.</w:t>
      </w:r>
    </w:p>
  </w:footnote>
  <w:footnote w:id="9">
    <w:p w14:paraId="483E6F92" w14:textId="77777777" w:rsidR="00A54C03" w:rsidRPr="00396846" w:rsidRDefault="00A54C03" w:rsidP="006C47C6">
      <w:pPr>
        <w:pStyle w:val="Notedebasdepage"/>
      </w:pPr>
      <w:r w:rsidRPr="006976A7">
        <w:rPr>
          <w:rStyle w:val="Appelnotedebasdep"/>
          <w:szCs w:val="16"/>
        </w:rPr>
        <w:footnoteRef/>
      </w:r>
      <w:r w:rsidRPr="006976A7">
        <w:t xml:space="preserve"> Également présent à l’article 12 du décret n°2016-360 du 25 mars 2016</w:t>
      </w:r>
      <w:r>
        <w:t>.</w:t>
      </w:r>
    </w:p>
  </w:footnote>
  <w:footnote w:id="10">
    <w:p w14:paraId="1E4B04D0" w14:textId="77777777" w:rsidR="00A54C03" w:rsidRDefault="00A54C03" w:rsidP="006C47C6">
      <w:pPr>
        <w:pStyle w:val="Notedebasdepage"/>
      </w:pPr>
      <w:r>
        <w:rPr>
          <w:rStyle w:val="Appelnotedebasdep"/>
        </w:rPr>
        <w:footnoteRef/>
      </w:r>
      <w:r>
        <w:t xml:space="preserve"> Il convient d’être particulièrement vigilent quant à la procédure sélectionnée qui doit être conforme aux règles applicables, voir fiche contrôle CICC.</w:t>
      </w:r>
    </w:p>
  </w:footnote>
  <w:footnote w:id="11">
    <w:p w14:paraId="3F04720F" w14:textId="77777777" w:rsidR="00A54C03" w:rsidRDefault="00A54C03" w:rsidP="006C47C6">
      <w:pPr>
        <w:pStyle w:val="Notedebasdepage"/>
      </w:pPr>
      <w:r>
        <w:rPr>
          <w:rStyle w:val="Appelnotedebasdep"/>
        </w:rPr>
        <w:footnoteRef/>
      </w:r>
      <w:r>
        <w:t xml:space="preserve"> Lorsque la valeur estimée hors taxe du besoin est égale ou supérieure aux seuils européens il s’agit en droit français d’une procédure formalisée. Lorsque cette valeur est inférieure aux seuils européens alors il s’agit d’une procédure adaptée. Article 42 de l’ordonnance du 23 juillet 2015. </w:t>
      </w:r>
    </w:p>
  </w:footnote>
  <w:footnote w:id="12">
    <w:p w14:paraId="289882C4" w14:textId="77777777" w:rsidR="00A54C03" w:rsidRDefault="00A54C03" w:rsidP="006C47C6">
      <w:pPr>
        <w:pStyle w:val="Notedebasdepage"/>
      </w:pPr>
      <w:r>
        <w:rPr>
          <w:rStyle w:val="Appelnotedebasdep"/>
        </w:rPr>
        <w:footnoteRef/>
      </w:r>
      <w:r>
        <w:t xml:space="preserve"> Article 25 du décret du 25 mars 2016.</w:t>
      </w:r>
    </w:p>
  </w:footnote>
  <w:footnote w:id="13">
    <w:p w14:paraId="04F31746" w14:textId="11827B7C" w:rsidR="00F55606" w:rsidRPr="00C76512" w:rsidRDefault="00A54C03" w:rsidP="00F55606">
      <w:pPr>
        <w:pStyle w:val="Notedebasdepage"/>
        <w:rPr>
          <w:lang w:val="it-IT"/>
        </w:rPr>
      </w:pPr>
      <w:r w:rsidRPr="006976A7">
        <w:rPr>
          <w:rStyle w:val="Appelnotedebasdep"/>
          <w:szCs w:val="16"/>
        </w:rPr>
        <w:footnoteRef/>
      </w:r>
      <w:r w:rsidRPr="006976A7">
        <w:t xml:space="preserve"> </w:t>
      </w:r>
      <w:hyperlink r:id="rId4" w:history="1">
        <w:r w:rsidRPr="006976A7">
          <w:rPr>
            <w:rStyle w:val="Lienhypertexte"/>
            <w:szCs w:val="16"/>
          </w:rPr>
          <w:t>Guide d’orientation à destination des praticiens : Comment éviter les erreurs les plus fréquentes commises dans le cadre des marchés publics de projets financés par les FESI</w:t>
        </w:r>
      </w:hyperlink>
      <w:r w:rsidRPr="006976A7">
        <w:t>, Commission européenne – DG REGIO, 2015, p.20.</w:t>
      </w:r>
      <w:r w:rsidR="00F55606">
        <w:t xml:space="preserve"> (Mise à jour AG juin 2020 : Guide mis à jour en février 2018, disponible sur le site internet du Programme Alcotra)</w:t>
      </w:r>
      <w:r w:rsidR="00F55606" w:rsidRPr="006976A7">
        <w:t>.</w:t>
      </w:r>
    </w:p>
    <w:p w14:paraId="7DDD6075" w14:textId="6843A990" w:rsidR="00A54C03" w:rsidRPr="006976A7" w:rsidRDefault="00A54C03" w:rsidP="006C47C6">
      <w:pPr>
        <w:pStyle w:val="Notedebasdepage"/>
      </w:pPr>
    </w:p>
  </w:footnote>
  <w:footnote w:id="14">
    <w:p w14:paraId="30CA5EBE" w14:textId="77777777" w:rsidR="00A54C03" w:rsidRDefault="00A54C03" w:rsidP="006C47C6">
      <w:pPr>
        <w:pStyle w:val="Notedebasdepage"/>
      </w:pPr>
      <w:r>
        <w:rPr>
          <w:rStyle w:val="Appelnotedebasdep"/>
        </w:rPr>
        <w:footnoteRef/>
      </w:r>
      <w:r>
        <w:t xml:space="preserve"> Tableaux DAJ : </w:t>
      </w:r>
      <w:r w:rsidRPr="00AE2EC9">
        <w:t>obligation de publicité</w:t>
      </w:r>
      <w:r>
        <w:t xml:space="preserve"> de </w:t>
      </w:r>
      <w:hyperlink r:id="rId5" w:history="1">
        <w:r w:rsidRPr="00AE2EC9">
          <w:rPr>
            <w:rStyle w:val="Lienhypertexte"/>
          </w:rPr>
          <w:t>l’Etat et de ses établissements publics autres qu’à caractère industriel et commercial</w:t>
        </w:r>
      </w:hyperlink>
      <w:r>
        <w:t xml:space="preserve"> et </w:t>
      </w:r>
      <w:hyperlink r:id="rId6" w:history="1">
        <w:r w:rsidRPr="00AE2EC9">
          <w:rPr>
            <w:rStyle w:val="Lienhypertexte"/>
          </w:rPr>
          <w:t>des collectivités territoriales, de leurs établissements publics et de leurs groupements</w:t>
        </w:r>
      </w:hyperlink>
      <w:r>
        <w:t xml:space="preserve">. </w:t>
      </w:r>
    </w:p>
  </w:footnote>
  <w:footnote w:id="15">
    <w:p w14:paraId="5EA16AC6" w14:textId="77777777" w:rsidR="00A54C03" w:rsidRDefault="00A54C03" w:rsidP="006C47C6">
      <w:pPr>
        <w:pStyle w:val="Notedebasdepage"/>
      </w:pPr>
      <w:r>
        <w:rPr>
          <w:rStyle w:val="Appelnotedebasdep"/>
        </w:rPr>
        <w:footnoteRef/>
      </w:r>
      <w:r>
        <w:t xml:space="preserve"> Modèle européen obligatoire : </w:t>
      </w:r>
      <w:hyperlink r:id="rId7" w:history="1">
        <w:r w:rsidRPr="00322A0A">
          <w:rPr>
            <w:rStyle w:val="Lienhypertexte"/>
          </w:rPr>
          <w:t>http://simap.ted.europa.eu/</w:t>
        </w:r>
      </w:hyperlink>
    </w:p>
  </w:footnote>
  <w:footnote w:id="16">
    <w:p w14:paraId="718A2044" w14:textId="77777777" w:rsidR="00A54C03" w:rsidRDefault="00A54C03" w:rsidP="006C47C6">
      <w:pPr>
        <w:pStyle w:val="Notedebasdepage"/>
      </w:pPr>
      <w:r>
        <w:rPr>
          <w:rStyle w:val="Appelnotedebasdep"/>
        </w:rPr>
        <w:footnoteRef/>
      </w:r>
      <w:r>
        <w:t xml:space="preserve"> Des cas particuliers peuvent s’appliquer, il convient de se reporter à l’article 43 du décret du 25 mars 2016</w:t>
      </w:r>
    </w:p>
  </w:footnote>
  <w:footnote w:id="17">
    <w:p w14:paraId="5B04D7F3" w14:textId="77777777" w:rsidR="00A54C03" w:rsidRDefault="00A54C03" w:rsidP="006C47C6">
      <w:pPr>
        <w:pStyle w:val="Notedebasdepage"/>
      </w:pPr>
      <w:r>
        <w:rPr>
          <w:rStyle w:val="Appelnotedebasdep"/>
        </w:rPr>
        <w:footnoteRef/>
      </w:r>
      <w:r>
        <w:t xml:space="preserve"> DUME : </w:t>
      </w:r>
      <w:hyperlink r:id="rId8" w:history="1">
        <w:r w:rsidRPr="00007860">
          <w:rPr>
            <w:rStyle w:val="Lienhypertexte"/>
          </w:rPr>
          <w:t>https://ec.europa.eu/tools/espd?lang=fr</w:t>
        </w:r>
      </w:hyperlink>
    </w:p>
  </w:footnote>
  <w:footnote w:id="18">
    <w:p w14:paraId="63DD59DF" w14:textId="77777777" w:rsidR="00A54C03" w:rsidRDefault="00A54C03" w:rsidP="006C47C6">
      <w:pPr>
        <w:pStyle w:val="Notedebasdepage"/>
      </w:pPr>
      <w:r>
        <w:rPr>
          <w:rStyle w:val="Appelnotedebasdep"/>
        </w:rPr>
        <w:footnoteRef/>
      </w:r>
      <w:r>
        <w:t xml:space="preserve"> Article 27 du décret du 25 mars 2016</w:t>
      </w:r>
    </w:p>
  </w:footnote>
  <w:footnote w:id="19">
    <w:p w14:paraId="2C19245D" w14:textId="47719074" w:rsidR="00A54C03" w:rsidRDefault="00A54C03" w:rsidP="00507009">
      <w:pPr>
        <w:pStyle w:val="Notedebasdepage"/>
      </w:pPr>
      <w:r>
        <w:rPr>
          <w:rStyle w:val="Appelnotedebasdep"/>
        </w:rPr>
        <w:footnoteRef/>
      </w:r>
      <w:r>
        <w:t xml:space="preserve"> Pour information, l’autorité de gestion </w:t>
      </w:r>
      <w:r w:rsidR="00F55606">
        <w:t xml:space="preserve">ALCOTRA s’appuie sur </w:t>
      </w:r>
      <w:r w:rsidR="00F55606" w:rsidRPr="00F55606">
        <w:t xml:space="preserve">la possibilité offerte </w:t>
      </w:r>
      <w:r w:rsidR="00674BE9">
        <w:t xml:space="preserve">par </w:t>
      </w:r>
      <w:r w:rsidR="00F55606" w:rsidRPr="00F55606">
        <w:t>le règlement (UE) n°2018-1046 qui précise que « les paiements pour des dépenses ne dépassant pas 1 000 € peuvent être effectués simplement comme remboursement de facture, sans acceptation préalable d’une offre</w:t>
      </w:r>
      <w:r w:rsidR="00F55606" w:rsidRPr="00674BE9">
        <w:t>. »</w:t>
      </w:r>
      <w:r w:rsidR="00674BE9" w:rsidRPr="00674BE9">
        <w:t xml:space="preserve"> comme précisé sur le site internet du Programme depuis décembre 2017. Cette</w:t>
      </w:r>
      <w:r w:rsidR="00674BE9">
        <w:t xml:space="preserve"> modalité était en effet déjà prévue </w:t>
      </w:r>
      <w:r w:rsidR="00674BE9" w:rsidRPr="00F55606">
        <w:t xml:space="preserve">par </w:t>
      </w:r>
      <w:r w:rsidR="00674BE9">
        <w:t>le règlement délégué (1268-2012) du règlement financier (966-2012) avant son abrogation.</w:t>
      </w:r>
    </w:p>
  </w:footnote>
  <w:footnote w:id="20">
    <w:p w14:paraId="5B94C053" w14:textId="77777777" w:rsidR="00A54C03" w:rsidRDefault="00A54C03" w:rsidP="006C47C6">
      <w:pPr>
        <w:pStyle w:val="Notedebasdepage"/>
      </w:pPr>
      <w:r>
        <w:rPr>
          <w:rStyle w:val="Appelnotedebasdep"/>
        </w:rPr>
        <w:footnoteRef/>
      </w:r>
      <w:r>
        <w:t xml:space="preserve"> Article 30.8 du décret du 25 mars 2016</w:t>
      </w:r>
    </w:p>
  </w:footnote>
  <w:footnote w:id="21">
    <w:p w14:paraId="74A3275C" w14:textId="77777777" w:rsidR="00A54C03" w:rsidRDefault="00A54C03" w:rsidP="006C47C6">
      <w:pPr>
        <w:pStyle w:val="Notedebasdepage"/>
      </w:pPr>
      <w:r>
        <w:rPr>
          <w:rStyle w:val="Appelnotedebasdep"/>
        </w:rPr>
        <w:footnoteRef/>
      </w:r>
      <w:r>
        <w:t xml:space="preserve"> Article 34.1.a du décret du 25 mars 2016</w:t>
      </w:r>
    </w:p>
  </w:footnote>
  <w:footnote w:id="22">
    <w:p w14:paraId="3229F440" w14:textId="77777777" w:rsidR="00A54C03" w:rsidRDefault="00A54C03" w:rsidP="006C47C6">
      <w:pPr>
        <w:pStyle w:val="Notedebasdepage"/>
      </w:pPr>
      <w:r>
        <w:rPr>
          <w:rStyle w:val="Appelnotedebasdep"/>
        </w:rPr>
        <w:footnoteRef/>
      </w:r>
      <w:r>
        <w:t xml:space="preserve"> Voir ci-dessus « partie c – Type de marché »</w:t>
      </w:r>
    </w:p>
  </w:footnote>
  <w:footnote w:id="23">
    <w:p w14:paraId="0E8C1099" w14:textId="77777777" w:rsidR="00A54C03" w:rsidRDefault="00A54C03" w:rsidP="006C47C6">
      <w:pPr>
        <w:pStyle w:val="Notedebasdepage"/>
      </w:pPr>
      <w:r>
        <w:rPr>
          <w:rStyle w:val="Appelnotedebasdep"/>
        </w:rPr>
        <w:footnoteRef/>
      </w:r>
      <w:r>
        <w:t xml:space="preserve"> Article 34.1.b du décret du 25 mars 2016</w:t>
      </w:r>
    </w:p>
  </w:footnote>
  <w:footnote w:id="24">
    <w:p w14:paraId="2E656CCA" w14:textId="77777777" w:rsidR="00A54C03" w:rsidRDefault="00A54C03" w:rsidP="000C7704">
      <w:pPr>
        <w:pStyle w:val="Notedebasdepage"/>
      </w:pPr>
      <w:r>
        <w:rPr>
          <w:rStyle w:val="Appelnotedebasdep"/>
        </w:rPr>
        <w:footnoteRef/>
      </w:r>
      <w:r>
        <w:t xml:space="preserve"> Article 30.8 du décret du 25 mars 2016</w:t>
      </w:r>
    </w:p>
  </w:footnote>
  <w:footnote w:id="25">
    <w:p w14:paraId="040B457F" w14:textId="77777777" w:rsidR="00A54C03" w:rsidRDefault="00A54C03" w:rsidP="000C7704">
      <w:pPr>
        <w:pStyle w:val="Notedebasdepage"/>
      </w:pPr>
      <w:r>
        <w:rPr>
          <w:rStyle w:val="Appelnotedebasdep"/>
        </w:rPr>
        <w:footnoteRef/>
      </w:r>
      <w:r>
        <w:t xml:space="preserve"> Article 34.1.a du décret du 25 mars 2016</w:t>
      </w:r>
    </w:p>
  </w:footnote>
  <w:footnote w:id="26">
    <w:p w14:paraId="3F75D0E2" w14:textId="77777777" w:rsidR="00A54C03" w:rsidRDefault="00A54C03" w:rsidP="000C7704">
      <w:pPr>
        <w:pStyle w:val="Notedebasdepage"/>
      </w:pPr>
      <w:r>
        <w:rPr>
          <w:rStyle w:val="Appelnotedebasdep"/>
        </w:rPr>
        <w:footnoteRef/>
      </w:r>
      <w:r>
        <w:t xml:space="preserve"> Voir ci-dessus « partie c – Type de marché »</w:t>
      </w:r>
    </w:p>
  </w:footnote>
  <w:footnote w:id="27">
    <w:p w14:paraId="25DB4D56" w14:textId="77777777" w:rsidR="00A54C03" w:rsidRDefault="00A54C03" w:rsidP="000C7704">
      <w:pPr>
        <w:pStyle w:val="Notedebasdepage"/>
      </w:pPr>
      <w:r>
        <w:rPr>
          <w:rStyle w:val="Appelnotedebasdep"/>
        </w:rPr>
        <w:footnoteRef/>
      </w:r>
      <w:r>
        <w:t xml:space="preserve"> Article 34.1.b du décret du 25 mars 2016</w:t>
      </w:r>
    </w:p>
  </w:footnote>
  <w:footnote w:id="28">
    <w:p w14:paraId="6932B0E9" w14:textId="77777777" w:rsidR="00A54C03" w:rsidRDefault="00A54C03" w:rsidP="006C47C6">
      <w:pPr>
        <w:pStyle w:val="Notedebasdepage"/>
      </w:pPr>
      <w:r>
        <w:rPr>
          <w:rStyle w:val="Appelnotedebasdep"/>
        </w:rPr>
        <w:footnoteRef/>
      </w:r>
      <w:r>
        <w:t xml:space="preserve"> Article 28 et 27 de décret du 25 mars 2016 </w:t>
      </w:r>
    </w:p>
  </w:footnote>
  <w:footnote w:id="29">
    <w:p w14:paraId="58B9BE39" w14:textId="40EFC267" w:rsidR="00A54C03" w:rsidRDefault="00A54C03">
      <w:pPr>
        <w:pStyle w:val="Notedebasdepage"/>
      </w:pPr>
      <w:r>
        <w:rPr>
          <w:rStyle w:val="Appelnotedebasdep"/>
        </w:rPr>
        <w:footnoteRef/>
      </w:r>
      <w:hyperlink r:id="rId9" w:history="1">
        <w:r w:rsidRPr="00646C48">
          <w:rPr>
            <w:rStyle w:val="Lienhypertexte"/>
          </w:rPr>
          <w:t>https://www.economie.gouv.fr/files/files/directions_services/daj/marches_publics/conseil_acheteurs/fiches-techniques/mise-en-oeuvre-procedure/achats-moins-25-000-euros-2016.pdf</w:t>
        </w:r>
      </w:hyperlink>
      <w:r w:rsidR="00FF6A00">
        <w:rPr>
          <w:rStyle w:val="Lienhypertexte"/>
        </w:rPr>
        <w:t xml:space="preserve"> </w:t>
      </w:r>
      <w:r w:rsidR="00FF6A00">
        <w:t>(Mise à jour AG juin 2020 : Fiche DAJ mise à jour le 1</w:t>
      </w:r>
      <w:r w:rsidR="00FF6A00" w:rsidRPr="00A62183">
        <w:rPr>
          <w:vertAlign w:val="superscript"/>
        </w:rPr>
        <w:t>er</w:t>
      </w:r>
      <w:r w:rsidR="00FF6A00">
        <w:t xml:space="preserve"> janvier 2020 /achats de moins de 40 000 euros)</w:t>
      </w:r>
      <w:r w:rsidR="00FF6A00" w:rsidRPr="006976A7">
        <w:t>.</w:t>
      </w:r>
    </w:p>
  </w:footnote>
  <w:footnote w:id="30">
    <w:p w14:paraId="68C379E7" w14:textId="77777777" w:rsidR="00A54C03" w:rsidRDefault="00A54C03" w:rsidP="006C47C6">
      <w:pPr>
        <w:pStyle w:val="Notedebasdepage"/>
      </w:pPr>
      <w:r>
        <w:rPr>
          <w:rStyle w:val="Appelnotedebasdep"/>
        </w:rPr>
        <w:footnoteRef/>
      </w:r>
      <w:r>
        <w:t xml:space="preserve">  Les décrets n°2016-360 et n° 2016-361 ne posent pas d’exigences relatives aux mentions devant figurer dans le règlement de la consultation.</w:t>
      </w:r>
    </w:p>
  </w:footnote>
  <w:footnote w:id="31">
    <w:p w14:paraId="2E289405" w14:textId="77777777" w:rsidR="00A54C03" w:rsidRDefault="00A54C03" w:rsidP="006C47C6">
      <w:pPr>
        <w:pStyle w:val="Notedebasdepage"/>
      </w:pPr>
      <w:r>
        <w:rPr>
          <w:rStyle w:val="Appelnotedebasdep"/>
        </w:rPr>
        <w:footnoteRef/>
      </w:r>
      <w:r>
        <w:t xml:space="preserve"> L’ordonnance du 23 juillet 2015 distingue la liste des interdictions obligatoires et générales de soumissionner</w:t>
      </w:r>
    </w:p>
  </w:footnote>
  <w:footnote w:id="32">
    <w:p w14:paraId="65C35C61" w14:textId="77777777" w:rsidR="00A54C03" w:rsidRDefault="00A54C03" w:rsidP="006C47C6">
      <w:pPr>
        <w:pStyle w:val="Notedebasdepage"/>
      </w:pPr>
      <w:r>
        <w:rPr>
          <w:rStyle w:val="Appelnotedebasdep"/>
        </w:rPr>
        <w:footnoteRef/>
      </w:r>
      <w:r>
        <w:t xml:space="preserve"> Guide de suivi, gestion, contrôle du CGET. </w:t>
      </w:r>
    </w:p>
  </w:footnote>
  <w:footnote w:id="33">
    <w:p w14:paraId="12BBE9E8" w14:textId="3D4EF3CB" w:rsidR="00A54C03" w:rsidRDefault="00A54C03" w:rsidP="006C47C6">
      <w:pPr>
        <w:pStyle w:val="Notedebasdepage"/>
      </w:pPr>
      <w:r>
        <w:rPr>
          <w:rStyle w:val="Appelnotedebasdep"/>
        </w:rPr>
        <w:footnoteRef/>
      </w:r>
      <w:r>
        <w:t xml:space="preserve"> </w:t>
      </w:r>
      <w:hyperlink r:id="rId10" w:history="1">
        <w:r w:rsidRPr="006976A7">
          <w:rPr>
            <w:rStyle w:val="Lienhypertexte"/>
            <w:szCs w:val="16"/>
          </w:rPr>
          <w:t>Guide d’orientation à destination des praticiens : Comment éviter les erreurs les plus fréquentes commises dans le cadre des marchés publics de projets financés par les FESI</w:t>
        </w:r>
      </w:hyperlink>
      <w:r w:rsidRPr="006976A7">
        <w:t>, Commission eu</w:t>
      </w:r>
      <w:r>
        <w:t xml:space="preserve">ropéenne – DG REGIO, 2015, boîte à outil 8, p. 90. </w:t>
      </w:r>
      <w:r w:rsidR="0086549D">
        <w:t>(Mise à jour AG juin 2020 : Guide mis à jour en février 2018, disponible sur le site internet du Programme Alcotra)</w:t>
      </w:r>
    </w:p>
  </w:footnote>
  <w:footnote w:id="34">
    <w:p w14:paraId="4E0915A3" w14:textId="77777777" w:rsidR="00A54C03" w:rsidRDefault="00A54C03" w:rsidP="006C47C6">
      <w:pPr>
        <w:pStyle w:val="Notedebasdepage"/>
      </w:pPr>
      <w:r>
        <w:rPr>
          <w:rStyle w:val="Appelnotedebasdep"/>
        </w:rPr>
        <w:footnoteRef/>
      </w:r>
      <w:r>
        <w:t xml:space="preserve"> Voir fiche aide d’Etat – friches pour plus de détail</w:t>
      </w:r>
    </w:p>
  </w:footnote>
  <w:footnote w:id="35">
    <w:p w14:paraId="4D8FFC6F" w14:textId="77777777" w:rsidR="00A54C03" w:rsidRDefault="00A54C03" w:rsidP="006C47C6">
      <w:pPr>
        <w:pStyle w:val="Notedebasdepage"/>
      </w:pPr>
      <w:r>
        <w:rPr>
          <w:rStyle w:val="Appelnotedebasdep"/>
        </w:rPr>
        <w:footnoteRef/>
      </w:r>
      <w:r>
        <w:t xml:space="preserve"> Marché à procédure adaptée</w:t>
      </w:r>
    </w:p>
  </w:footnote>
  <w:footnote w:id="36">
    <w:p w14:paraId="27D40F95" w14:textId="77777777" w:rsidR="00A54C03" w:rsidRDefault="00A54C03" w:rsidP="006C47C6">
      <w:pPr>
        <w:pStyle w:val="Notedebasdepage"/>
      </w:pPr>
      <w:r>
        <w:rPr>
          <w:rStyle w:val="Appelnotedebasdep"/>
        </w:rPr>
        <w:footnoteRef/>
      </w:r>
      <w:r>
        <w:t xml:space="preserve"> Voir note méthodologique Aides d’Etat et friches du CGET</w:t>
      </w:r>
    </w:p>
  </w:footnote>
  <w:footnote w:id="37">
    <w:p w14:paraId="0D669821" w14:textId="77777777" w:rsidR="00A54C03" w:rsidRDefault="00A54C03" w:rsidP="006C47C6">
      <w:pPr>
        <w:pStyle w:val="Notedebasdepage"/>
      </w:pPr>
      <w:r>
        <w:rPr>
          <w:rStyle w:val="Appelnotedebasdep"/>
        </w:rPr>
        <w:footnoteRef/>
      </w:r>
      <w:r>
        <w:t xml:space="preserve"> Voir la note méthodologique relative à l’application de réglementation SIEG publiée sur le site Europe en France : </w:t>
      </w:r>
      <w:r w:rsidRPr="002D7BBF">
        <w:t>http://www.europe-en-france.gouv.fr/Centre-de-ressources/Aides-d-Etat/Services-d-interet-economique-general</w:t>
      </w:r>
    </w:p>
  </w:footnote>
  <w:footnote w:id="38">
    <w:p w14:paraId="33E6EB07" w14:textId="77777777" w:rsidR="00A54C03" w:rsidRPr="002C083F" w:rsidRDefault="00A54C03" w:rsidP="006C47C6">
      <w:pPr>
        <w:pStyle w:val="Notedebasdepage"/>
      </w:pPr>
    </w:p>
  </w:footnote>
  <w:footnote w:id="39">
    <w:p w14:paraId="3CD3387F" w14:textId="77777777" w:rsidR="00A54C03" w:rsidRDefault="00A54C03">
      <w:pPr>
        <w:pStyle w:val="Notedebasdepage"/>
      </w:pPr>
      <w:r>
        <w:rPr>
          <w:rStyle w:val="Appelnotedebasdep"/>
        </w:rPr>
        <w:footnoteRef/>
      </w:r>
      <w:r>
        <w:t xml:space="preserve">  S</w:t>
      </w:r>
      <w:r w:rsidRPr="001E054E">
        <w:t>’agissant des aides d’Etat, la règle d’</w:t>
      </w:r>
      <w:proofErr w:type="spellStart"/>
      <w:r w:rsidRPr="001E054E">
        <w:t>incitativité</w:t>
      </w:r>
      <w:proofErr w:type="spellEnd"/>
      <w:r w:rsidRPr="001E054E">
        <w:t xml:space="preserve"> impose de ne pas démarrer les travaux avant le dépôt d’une demande d’aide, sous peine d’inéligibilité de l’ensemble du projet</w:t>
      </w:r>
      <w:r>
        <w:t>.</w:t>
      </w:r>
    </w:p>
  </w:footnote>
  <w:footnote w:id="40">
    <w:p w14:paraId="0E2B2885" w14:textId="77777777" w:rsidR="00A54C03" w:rsidRDefault="00A54C03" w:rsidP="006C47C6">
      <w:pPr>
        <w:pStyle w:val="Notedebasdepage"/>
      </w:pPr>
      <w:r>
        <w:rPr>
          <w:rStyle w:val="Appelnotedebasdep"/>
        </w:rPr>
        <w:footnoteRef/>
      </w:r>
      <w:r>
        <w:t xml:space="preserve"> Courrier CE 31/12/2015</w:t>
      </w:r>
    </w:p>
  </w:footnote>
  <w:footnote w:id="41">
    <w:p w14:paraId="28BE3BA0" w14:textId="04FC2FB8" w:rsidR="00A54C03" w:rsidRDefault="00A54C03" w:rsidP="006C47C6">
      <w:pPr>
        <w:pStyle w:val="Notedebasdepage"/>
      </w:pPr>
      <w:r w:rsidRPr="007B57F8">
        <w:rPr>
          <w:rStyle w:val="Appelnotedebasdep"/>
          <w:szCs w:val="16"/>
        </w:rPr>
        <w:footnoteRef/>
      </w:r>
      <w:r w:rsidRPr="007B57F8">
        <w:t xml:space="preserve"> </w:t>
      </w:r>
      <w:hyperlink r:id="rId11" w:history="1">
        <w:r w:rsidRPr="00AC49EE">
          <w:rPr>
            <w:rStyle w:val="Lienhypertexte"/>
            <w:szCs w:val="16"/>
          </w:rPr>
          <w:t>Guide d’orientation à destination des praticiens : Comment éviter les erreurs les plus fréquentes commises dans le cadre des marchés publics de projets financés par les FESI, Commission européenne</w:t>
        </w:r>
      </w:hyperlink>
      <w:r w:rsidRPr="007B57F8">
        <w:t xml:space="preserve"> – DG REGIO, 2015, p.17.</w:t>
      </w:r>
      <w:r w:rsidR="0086549D">
        <w:t>) (Mise à jour AG juin 2020 : Guide mis à jour en février 2018, disponible sur le site internet du Programme Alcotra)</w:t>
      </w:r>
    </w:p>
  </w:footnote>
  <w:footnote w:id="42">
    <w:p w14:paraId="250243A4" w14:textId="77777777" w:rsidR="00A54C03" w:rsidRDefault="00A54C03" w:rsidP="006C47C6">
      <w:pPr>
        <w:pStyle w:val="Notedebasdepage"/>
      </w:pPr>
      <w:r>
        <w:rPr>
          <w:rStyle w:val="Appelnotedebasdep"/>
        </w:rPr>
        <w:footnoteRef/>
      </w:r>
      <w:r>
        <w:t xml:space="preserve"> </w:t>
      </w:r>
      <w:hyperlink r:id="rId12" w:history="1">
        <w:r w:rsidRPr="00AC49EE">
          <w:rPr>
            <w:rStyle w:val="Lienhypertexte"/>
            <w:szCs w:val="16"/>
          </w:rPr>
          <w:t>Guide d’orientation à destination des praticiens : Comment éviter les erreurs les plus fréquentes commises dans le cadre des marchés publics de projets financés par les FESI, Commission européenne</w:t>
        </w:r>
      </w:hyperlink>
      <w:r>
        <w:t xml:space="preserve"> – DG REGIO, 2015, p.33.</w:t>
      </w:r>
    </w:p>
  </w:footnote>
  <w:footnote w:id="43">
    <w:p w14:paraId="62E9AE3D" w14:textId="77777777" w:rsidR="00A54C03" w:rsidRDefault="00A54C03" w:rsidP="006C47C6">
      <w:pPr>
        <w:pStyle w:val="Notedebasdepage"/>
      </w:pPr>
      <w:r>
        <w:rPr>
          <w:rStyle w:val="Appelnotedebasdep"/>
        </w:rPr>
        <w:footnoteRef/>
      </w:r>
      <w:r>
        <w:t xml:space="preserve"> </w:t>
      </w:r>
      <w:hyperlink r:id="rId13" w:history="1">
        <w:r w:rsidRPr="00AC49EE">
          <w:rPr>
            <w:rStyle w:val="Lienhypertexte"/>
            <w:szCs w:val="16"/>
          </w:rPr>
          <w:t>Guide d’orientation à destination des praticiens : Comment éviter les erreurs les plus fréquentes commises dans le cadre des marchés publics de projets financés par les FESI, Commission européenne</w:t>
        </w:r>
      </w:hyperlink>
      <w:r w:rsidRPr="007B57F8">
        <w:t xml:space="preserve"> </w:t>
      </w:r>
      <w:r>
        <w:t>– DG REGIO, 2015, p.90.</w:t>
      </w:r>
    </w:p>
  </w:footnote>
  <w:footnote w:id="44">
    <w:p w14:paraId="39CE34D3" w14:textId="77777777" w:rsidR="00A54C03" w:rsidRDefault="00A54C03" w:rsidP="006C47C6">
      <w:pPr>
        <w:pStyle w:val="Notedebasdepage"/>
      </w:pPr>
      <w:r>
        <w:rPr>
          <w:rStyle w:val="Appelnotedebasdep"/>
        </w:rPr>
        <w:footnoteRef/>
      </w:r>
      <w:r>
        <w:t xml:space="preserve"> </w:t>
      </w:r>
      <w:hyperlink r:id="rId14" w:history="1">
        <w:r w:rsidRPr="00AC49EE">
          <w:rPr>
            <w:rStyle w:val="Lienhypertexte"/>
            <w:szCs w:val="16"/>
          </w:rPr>
          <w:t>Guide d’orientation à destination des praticiens : Comment éviter les erreurs les plus fréquentes commises dans le cadre des marchés publics de projets financés par les FESI, Commission européenne</w:t>
        </w:r>
      </w:hyperlink>
    </w:p>
  </w:footnote>
  <w:footnote w:id="45">
    <w:p w14:paraId="36CD5440" w14:textId="77777777" w:rsidR="00A54C03" w:rsidRDefault="00A54C03" w:rsidP="006C47C6">
      <w:pPr>
        <w:pStyle w:val="Notedebasdepage"/>
      </w:pPr>
      <w:r>
        <w:rPr>
          <w:rStyle w:val="Appelnotedebasdep"/>
        </w:rPr>
        <w:footnoteRef/>
      </w:r>
      <w:r>
        <w:t xml:space="preserve"> Exemple : trame commune du CGET, </w:t>
      </w:r>
      <w:hyperlink r:id="rId15" w:history="1">
        <w:r w:rsidRPr="009F2596">
          <w:rPr>
            <w:rStyle w:val="Lienhypertexte"/>
          </w:rPr>
          <w:t>annexe contrôle des marchés publics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Borders>
        <w:insideV w:val="single" w:sz="4" w:space="0" w:color="auto"/>
      </w:tblBorders>
      <w:tblLook w:val="04A0" w:firstRow="1" w:lastRow="0" w:firstColumn="1" w:lastColumn="0" w:noHBand="0" w:noVBand="1"/>
    </w:tblPr>
    <w:tblGrid>
      <w:gridCol w:w="1152"/>
      <w:gridCol w:w="7920"/>
    </w:tblGrid>
    <w:tr w:rsidR="00A54C03" w14:paraId="40B978EF" w14:textId="77777777">
      <w:tc>
        <w:tcPr>
          <w:tcW w:w="1152" w:type="dxa"/>
        </w:tcPr>
        <w:p w14:paraId="0403AC3C" w14:textId="77777777" w:rsidR="00A54C03" w:rsidRDefault="00A54C03">
          <w:pPr>
            <w:pStyle w:val="En-tte"/>
            <w:jc w:val="right"/>
            <w:rPr>
              <w:b/>
              <w:bCs/>
            </w:rPr>
          </w:pPr>
        </w:p>
      </w:tc>
      <w:tc>
        <w:tcPr>
          <w:tcW w:w="0" w:type="auto"/>
          <w:noWrap/>
        </w:tcPr>
        <w:p w14:paraId="5839E956" w14:textId="07F9F296" w:rsidR="00A54C03" w:rsidRPr="00BC06CD" w:rsidRDefault="00A54C03">
          <w:pPr>
            <w:pStyle w:val="En-tte"/>
            <w:rPr>
              <w:bCs/>
              <w:sz w:val="18"/>
              <w:szCs w:val="18"/>
            </w:rPr>
          </w:pPr>
        </w:p>
      </w:tc>
    </w:tr>
  </w:tbl>
  <w:p w14:paraId="266149DC" w14:textId="77777777" w:rsidR="00A54C03" w:rsidRDefault="00A54C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1F62"/>
    <w:multiLevelType w:val="hybridMultilevel"/>
    <w:tmpl w:val="4F6C6C64"/>
    <w:lvl w:ilvl="0" w:tplc="5C220C9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1C397F"/>
    <w:multiLevelType w:val="hybridMultilevel"/>
    <w:tmpl w:val="FB022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8A3D18"/>
    <w:multiLevelType w:val="hybridMultilevel"/>
    <w:tmpl w:val="B5CAA3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7275DA"/>
    <w:multiLevelType w:val="hybridMultilevel"/>
    <w:tmpl w:val="147E7D00"/>
    <w:lvl w:ilvl="0" w:tplc="B50E47CC">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EB4540D"/>
    <w:multiLevelType w:val="hybridMultilevel"/>
    <w:tmpl w:val="6F5457B2"/>
    <w:lvl w:ilvl="0" w:tplc="1B9EFF7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0E757E"/>
    <w:multiLevelType w:val="hybridMultilevel"/>
    <w:tmpl w:val="87FA24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F2163"/>
    <w:multiLevelType w:val="hybridMultilevel"/>
    <w:tmpl w:val="FEBE84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0F7207"/>
    <w:multiLevelType w:val="hybridMultilevel"/>
    <w:tmpl w:val="7FB011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204A52"/>
    <w:multiLevelType w:val="hybridMultilevel"/>
    <w:tmpl w:val="F51CC224"/>
    <w:lvl w:ilvl="0" w:tplc="0000000C">
      <w:numFmt w:val="bullet"/>
      <w:lvlText w:val="-"/>
      <w:lvlJc w:val="left"/>
      <w:pPr>
        <w:ind w:left="720" w:hanging="360"/>
      </w:pPr>
      <w:rPr>
        <w:rFonts w:ascii="Calibr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4958A5"/>
    <w:multiLevelType w:val="hybridMultilevel"/>
    <w:tmpl w:val="92EE5070"/>
    <w:lvl w:ilvl="0" w:tplc="4518FF24">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12D7C73"/>
    <w:multiLevelType w:val="hybridMultilevel"/>
    <w:tmpl w:val="5114E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8D455A"/>
    <w:multiLevelType w:val="hybridMultilevel"/>
    <w:tmpl w:val="8FBEF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D40ACC"/>
    <w:multiLevelType w:val="hybridMultilevel"/>
    <w:tmpl w:val="F59263A0"/>
    <w:lvl w:ilvl="0" w:tplc="72A8FFFC">
      <w:start w:val="2"/>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43356C"/>
    <w:multiLevelType w:val="hybridMultilevel"/>
    <w:tmpl w:val="0240A3AC"/>
    <w:lvl w:ilvl="0" w:tplc="A236A212">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2CF7B32"/>
    <w:multiLevelType w:val="hybridMultilevel"/>
    <w:tmpl w:val="9B2C5D6E"/>
    <w:lvl w:ilvl="0" w:tplc="B50E47CC">
      <w:numFmt w:val="bullet"/>
      <w:lvlText w:val="-"/>
      <w:lvlJc w:val="left"/>
      <w:pPr>
        <w:ind w:left="720" w:hanging="360"/>
      </w:pPr>
      <w:rPr>
        <w:rFonts w:ascii="Calibri" w:eastAsiaTheme="minorHAnsi" w:hAnsi="Calibri" w:cstheme="minorBidi" w:hint="default"/>
      </w:rPr>
    </w:lvl>
    <w:lvl w:ilvl="1" w:tplc="74F0858A">
      <w:numFmt w:val="bullet"/>
      <w:lvlText w:val="•"/>
      <w:lvlJc w:val="left"/>
      <w:pPr>
        <w:ind w:left="1785" w:hanging="705"/>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EF48BF"/>
    <w:multiLevelType w:val="hybridMultilevel"/>
    <w:tmpl w:val="D5F0FCAA"/>
    <w:lvl w:ilvl="0" w:tplc="2B6C29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8166DA"/>
    <w:multiLevelType w:val="hybridMultilevel"/>
    <w:tmpl w:val="B34E5E1E"/>
    <w:lvl w:ilvl="0" w:tplc="72B633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6A7F9D"/>
    <w:multiLevelType w:val="hybridMultilevel"/>
    <w:tmpl w:val="D9960ECE"/>
    <w:lvl w:ilvl="0" w:tplc="C61A4B34">
      <w:start w:val="3"/>
      <w:numFmt w:val="bullet"/>
      <w:pStyle w:val="Normalblancpucs"/>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345286"/>
    <w:multiLevelType w:val="hybridMultilevel"/>
    <w:tmpl w:val="36D025AA"/>
    <w:lvl w:ilvl="0" w:tplc="EBB6388A">
      <w:start w:val="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19" w15:restartNumberingAfterBreak="0">
    <w:nsid w:val="422A054C"/>
    <w:multiLevelType w:val="hybridMultilevel"/>
    <w:tmpl w:val="D3E2100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43363E37"/>
    <w:multiLevelType w:val="hybridMultilevel"/>
    <w:tmpl w:val="2E0026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5BA2C96"/>
    <w:multiLevelType w:val="hybridMultilevel"/>
    <w:tmpl w:val="6F267C4A"/>
    <w:lvl w:ilvl="0" w:tplc="040C0001">
      <w:start w:val="1"/>
      <w:numFmt w:val="bullet"/>
      <w:lvlText w:val=""/>
      <w:lvlJc w:val="left"/>
      <w:pPr>
        <w:ind w:left="720" w:hanging="360"/>
      </w:pPr>
      <w:rPr>
        <w:rFonts w:ascii="Symbol" w:hAnsi="Symbol" w:hint="default"/>
      </w:rPr>
    </w:lvl>
    <w:lvl w:ilvl="1" w:tplc="74F0858A">
      <w:numFmt w:val="bullet"/>
      <w:lvlText w:val="•"/>
      <w:lvlJc w:val="left"/>
      <w:pPr>
        <w:ind w:left="1785" w:hanging="705"/>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19518F"/>
    <w:multiLevelType w:val="hybridMultilevel"/>
    <w:tmpl w:val="1FFC4B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484918"/>
    <w:multiLevelType w:val="hybridMultilevel"/>
    <w:tmpl w:val="15B8A834"/>
    <w:lvl w:ilvl="0" w:tplc="74F0858A">
      <w:numFmt w:val="bullet"/>
      <w:lvlText w:val="•"/>
      <w:lvlJc w:val="left"/>
      <w:pPr>
        <w:ind w:left="720" w:hanging="360"/>
      </w:pPr>
      <w:rPr>
        <w:rFonts w:ascii="Calibri" w:eastAsiaTheme="minorHAnsi" w:hAnsi="Calibri" w:cstheme="minorBidi" w:hint="default"/>
      </w:rPr>
    </w:lvl>
    <w:lvl w:ilvl="1" w:tplc="4518FF24">
      <w:numFmt w:val="bullet"/>
      <w:lvlText w:val="-"/>
      <w:lvlJc w:val="left"/>
      <w:pPr>
        <w:ind w:left="1440" w:hanging="360"/>
      </w:pPr>
      <w:rPr>
        <w:rFonts w:ascii="Calibri" w:eastAsiaTheme="minorHAnsi" w:hAnsi="Calibri" w:cstheme="minorBi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694842"/>
    <w:multiLevelType w:val="hybridMultilevel"/>
    <w:tmpl w:val="96608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A544D5"/>
    <w:multiLevelType w:val="hybridMultilevel"/>
    <w:tmpl w:val="E7D2E894"/>
    <w:lvl w:ilvl="0" w:tplc="0000000C">
      <w:numFmt w:val="bullet"/>
      <w:lvlText w:val="-"/>
      <w:lvlJc w:val="left"/>
      <w:pPr>
        <w:ind w:left="720" w:hanging="360"/>
      </w:pPr>
      <w:rPr>
        <w:rFonts w:ascii="Calibr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9669B1"/>
    <w:multiLevelType w:val="multilevel"/>
    <w:tmpl w:val="977C04A0"/>
    <w:lvl w:ilvl="0">
      <w:start w:val="1"/>
      <w:numFmt w:val="decimal"/>
      <w:suff w:val="space"/>
      <w:lvlText w:val="%1"/>
      <w:lvlJc w:val="left"/>
      <w:pPr>
        <w:ind w:left="3601" w:hanging="340"/>
      </w:pPr>
      <w:rPr>
        <w:rFonts w:ascii="Trebuchet MS" w:hAnsi="Trebuchet MS" w:hint="default"/>
        <w:b/>
        <w:color w:val="0077B1"/>
        <w:position w:val="0"/>
        <w:sz w:val="36"/>
      </w:rPr>
    </w:lvl>
    <w:lvl w:ilvl="1">
      <w:start w:val="1"/>
      <w:numFmt w:val="decimal"/>
      <w:lvlText w:val="%1.%2"/>
      <w:lvlJc w:val="left"/>
      <w:pPr>
        <w:ind w:left="652" w:hanging="510"/>
      </w:pPr>
      <w:rPr>
        <w:rFonts w:ascii="Trebuchet MS" w:hAnsi="Trebuchet MS" w:hint="default"/>
        <w:b/>
        <w:i w:val="0"/>
        <w:color w:val="0077B1"/>
        <w:sz w:val="24"/>
      </w:rPr>
    </w:lvl>
    <w:lvl w:ilvl="2">
      <w:start w:val="1"/>
      <w:numFmt w:val="decimal"/>
      <w:lvlText w:val="%1.%2.%3"/>
      <w:lvlJc w:val="left"/>
      <w:pPr>
        <w:ind w:left="3459" w:hanging="907"/>
      </w:pPr>
      <w:rPr>
        <w:rFonts w:ascii="Trebuchet MS" w:hAnsi="Trebuchet MS" w:hint="default"/>
        <w:b/>
        <w:i w:val="0"/>
        <w:color w:val="0077B1"/>
        <w:sz w:val="22"/>
      </w:rPr>
    </w:lvl>
    <w:lvl w:ilvl="3">
      <w:start w:val="1"/>
      <w:numFmt w:val="none"/>
      <w:lvlText w:val=""/>
      <w:lvlJc w:val="left"/>
      <w:pPr>
        <w:ind w:left="6311" w:hanging="57"/>
      </w:pPr>
      <w:rPr>
        <w:rFonts w:ascii="Trebuchet MS" w:hAnsi="Trebuchet MS" w:hint="default"/>
        <w:b/>
        <w:i w:val="0"/>
        <w:color w:val="0070C0"/>
        <w:sz w:val="22"/>
      </w:rPr>
    </w:lvl>
    <w:lvl w:ilvl="4">
      <w:start w:val="1"/>
      <w:numFmt w:val="none"/>
      <w:lvlText w:val=""/>
      <w:lvlJc w:val="left"/>
      <w:pPr>
        <w:ind w:left="6577" w:hanging="57"/>
      </w:pPr>
      <w:rPr>
        <w:rFonts w:ascii="Trebuchet MS" w:hAnsi="Trebuchet MS" w:hint="default"/>
        <w:b/>
        <w:i w:val="0"/>
        <w:color w:val="0070C0"/>
        <w:sz w:val="22"/>
      </w:rPr>
    </w:lvl>
    <w:lvl w:ilvl="5">
      <w:start w:val="1"/>
      <w:numFmt w:val="none"/>
      <w:lvlText w:val=""/>
      <w:lvlJc w:val="left"/>
      <w:pPr>
        <w:ind w:left="6843" w:hanging="57"/>
      </w:pPr>
      <w:rPr>
        <w:rFonts w:hint="default"/>
      </w:rPr>
    </w:lvl>
    <w:lvl w:ilvl="6">
      <w:start w:val="1"/>
      <w:numFmt w:val="none"/>
      <w:lvlText w:val=""/>
      <w:lvlJc w:val="left"/>
      <w:pPr>
        <w:ind w:left="7109" w:hanging="57"/>
      </w:pPr>
      <w:rPr>
        <w:rFonts w:hint="default"/>
      </w:rPr>
    </w:lvl>
    <w:lvl w:ilvl="7">
      <w:start w:val="1"/>
      <w:numFmt w:val="none"/>
      <w:lvlText w:val="%8"/>
      <w:lvlJc w:val="left"/>
      <w:pPr>
        <w:ind w:left="7375" w:hanging="57"/>
      </w:pPr>
      <w:rPr>
        <w:rFonts w:hint="default"/>
      </w:rPr>
    </w:lvl>
    <w:lvl w:ilvl="8">
      <w:start w:val="1"/>
      <w:numFmt w:val="none"/>
      <w:lvlText w:val="%9"/>
      <w:lvlJc w:val="left"/>
      <w:pPr>
        <w:ind w:left="7641" w:hanging="57"/>
      </w:pPr>
      <w:rPr>
        <w:rFonts w:hint="default"/>
      </w:rPr>
    </w:lvl>
  </w:abstractNum>
  <w:abstractNum w:abstractNumId="27" w15:restartNumberingAfterBreak="0">
    <w:nsid w:val="54B85B3F"/>
    <w:multiLevelType w:val="hybridMultilevel"/>
    <w:tmpl w:val="85F0B2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634C6E"/>
    <w:multiLevelType w:val="hybridMultilevel"/>
    <w:tmpl w:val="AEE88E2E"/>
    <w:lvl w:ilvl="0" w:tplc="292A855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17679C"/>
    <w:multiLevelType w:val="hybridMultilevel"/>
    <w:tmpl w:val="2768127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3205D8"/>
    <w:multiLevelType w:val="hybridMultilevel"/>
    <w:tmpl w:val="CC86B5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820956"/>
    <w:multiLevelType w:val="hybridMultilevel"/>
    <w:tmpl w:val="5BF65364"/>
    <w:lvl w:ilvl="0" w:tplc="7AFA412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B156C3E"/>
    <w:multiLevelType w:val="hybridMultilevel"/>
    <w:tmpl w:val="AF8ABFD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5B854066"/>
    <w:multiLevelType w:val="hybridMultilevel"/>
    <w:tmpl w:val="599E5A08"/>
    <w:lvl w:ilvl="0" w:tplc="970E837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D1D69C2"/>
    <w:multiLevelType w:val="hybridMultilevel"/>
    <w:tmpl w:val="358ED43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5ED30210"/>
    <w:multiLevelType w:val="hybridMultilevel"/>
    <w:tmpl w:val="BB729F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5F4A698D"/>
    <w:multiLevelType w:val="hybridMultilevel"/>
    <w:tmpl w:val="19B81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273143B"/>
    <w:multiLevelType w:val="hybridMultilevel"/>
    <w:tmpl w:val="995A97E0"/>
    <w:lvl w:ilvl="0" w:tplc="040C000D">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B06E55"/>
    <w:multiLevelType w:val="hybridMultilevel"/>
    <w:tmpl w:val="F724E66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EF6B8A"/>
    <w:multiLevelType w:val="hybridMultilevel"/>
    <w:tmpl w:val="AA38B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DA0BE8"/>
    <w:multiLevelType w:val="hybridMultilevel"/>
    <w:tmpl w:val="037C22A6"/>
    <w:lvl w:ilvl="0" w:tplc="4518FF24">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6EF877DE"/>
    <w:multiLevelType w:val="hybridMultilevel"/>
    <w:tmpl w:val="82487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02B6D2C"/>
    <w:multiLevelType w:val="hybridMultilevel"/>
    <w:tmpl w:val="1DC09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27B18F4"/>
    <w:multiLevelType w:val="hybridMultilevel"/>
    <w:tmpl w:val="0C8E28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9570A4"/>
    <w:multiLevelType w:val="hybridMultilevel"/>
    <w:tmpl w:val="1E367A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lvlOverride w:ilvl="0">
      <w:lvl w:ilvl="0">
        <w:start w:val="1"/>
        <w:numFmt w:val="decimal"/>
        <w:suff w:val="space"/>
        <w:lvlText w:val="%1"/>
        <w:lvlJc w:val="left"/>
        <w:pPr>
          <w:ind w:left="3601" w:hanging="340"/>
        </w:pPr>
        <w:rPr>
          <w:rFonts w:ascii="PT Serif" w:hAnsi="PT Serif" w:hint="default"/>
          <w:b w:val="0"/>
          <w:color w:val="35738B"/>
          <w:position w:val="0"/>
          <w:sz w:val="36"/>
        </w:rPr>
      </w:lvl>
    </w:lvlOverride>
    <w:lvlOverride w:ilvl="1">
      <w:lvl w:ilvl="1">
        <w:start w:val="1"/>
        <w:numFmt w:val="decimal"/>
        <w:lvlText w:val="%1.%2"/>
        <w:lvlJc w:val="left"/>
        <w:pPr>
          <w:ind w:left="652" w:hanging="51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3459" w:hanging="907"/>
        </w:pPr>
        <w:rPr>
          <w:rFonts w:ascii="Trebuchet MS" w:hAnsi="Trebuchet MS" w:hint="default"/>
          <w:b/>
          <w:i w:val="0"/>
          <w:color w:val="0077B1"/>
          <w:sz w:val="22"/>
        </w:rPr>
      </w:lvl>
    </w:lvlOverride>
    <w:lvlOverride w:ilvl="3">
      <w:lvl w:ilvl="3">
        <w:start w:val="1"/>
        <w:numFmt w:val="none"/>
        <w:lvlText w:val=""/>
        <w:lvlJc w:val="left"/>
        <w:pPr>
          <w:ind w:left="6311" w:hanging="57"/>
        </w:pPr>
        <w:rPr>
          <w:rFonts w:ascii="Trebuchet MS" w:hAnsi="Trebuchet MS" w:hint="default"/>
          <w:b/>
          <w:i w:val="0"/>
          <w:color w:val="0070C0"/>
          <w:sz w:val="22"/>
        </w:rPr>
      </w:lvl>
    </w:lvlOverride>
    <w:lvlOverride w:ilvl="4">
      <w:lvl w:ilvl="4">
        <w:start w:val="1"/>
        <w:numFmt w:val="none"/>
        <w:lvlText w:val=""/>
        <w:lvlJc w:val="left"/>
        <w:pPr>
          <w:ind w:left="6577" w:hanging="57"/>
        </w:pPr>
        <w:rPr>
          <w:rFonts w:ascii="Trebuchet MS" w:hAnsi="Trebuchet MS" w:hint="default"/>
          <w:b/>
          <w:i w:val="0"/>
          <w:color w:val="0070C0"/>
          <w:sz w:val="22"/>
        </w:rPr>
      </w:lvl>
    </w:lvlOverride>
    <w:lvlOverride w:ilvl="5">
      <w:lvl w:ilvl="5">
        <w:start w:val="1"/>
        <w:numFmt w:val="none"/>
        <w:lvlText w:val=""/>
        <w:lvlJc w:val="left"/>
        <w:pPr>
          <w:ind w:left="6843" w:hanging="57"/>
        </w:pPr>
        <w:rPr>
          <w:rFonts w:hint="default"/>
        </w:rPr>
      </w:lvl>
    </w:lvlOverride>
    <w:lvlOverride w:ilvl="6">
      <w:lvl w:ilvl="6">
        <w:start w:val="1"/>
        <w:numFmt w:val="none"/>
        <w:lvlText w:val=""/>
        <w:lvlJc w:val="left"/>
        <w:pPr>
          <w:ind w:left="7109" w:hanging="57"/>
        </w:pPr>
        <w:rPr>
          <w:rFonts w:hint="default"/>
        </w:rPr>
      </w:lvl>
    </w:lvlOverride>
    <w:lvlOverride w:ilvl="7">
      <w:lvl w:ilvl="7">
        <w:start w:val="1"/>
        <w:numFmt w:val="none"/>
        <w:lvlText w:val="%8"/>
        <w:lvlJc w:val="left"/>
        <w:pPr>
          <w:ind w:left="7375" w:hanging="57"/>
        </w:pPr>
        <w:rPr>
          <w:rFonts w:hint="default"/>
        </w:rPr>
      </w:lvl>
    </w:lvlOverride>
    <w:lvlOverride w:ilvl="8">
      <w:lvl w:ilvl="8">
        <w:start w:val="1"/>
        <w:numFmt w:val="none"/>
        <w:lvlText w:val="%9"/>
        <w:lvlJc w:val="left"/>
        <w:pPr>
          <w:ind w:left="7641" w:hanging="57"/>
        </w:pPr>
        <w:rPr>
          <w:rFonts w:hint="default"/>
        </w:rPr>
      </w:lvl>
    </w:lvlOverride>
  </w:num>
  <w:num w:numId="2">
    <w:abstractNumId w:val="17"/>
  </w:num>
  <w:num w:numId="3">
    <w:abstractNumId w:val="14"/>
  </w:num>
  <w:num w:numId="4">
    <w:abstractNumId w:val="36"/>
  </w:num>
  <w:num w:numId="5">
    <w:abstractNumId w:val="2"/>
  </w:num>
  <w:num w:numId="6">
    <w:abstractNumId w:val="44"/>
  </w:num>
  <w:num w:numId="7">
    <w:abstractNumId w:val="27"/>
  </w:num>
  <w:num w:numId="8">
    <w:abstractNumId w:val="6"/>
  </w:num>
  <w:num w:numId="9">
    <w:abstractNumId w:val="1"/>
  </w:num>
  <w:num w:numId="10">
    <w:abstractNumId w:val="20"/>
  </w:num>
  <w:num w:numId="11">
    <w:abstractNumId w:val="10"/>
  </w:num>
  <w:num w:numId="12">
    <w:abstractNumId w:val="21"/>
  </w:num>
  <w:num w:numId="13">
    <w:abstractNumId w:val="24"/>
  </w:num>
  <w:num w:numId="14">
    <w:abstractNumId w:val="22"/>
  </w:num>
  <w:num w:numId="15">
    <w:abstractNumId w:val="39"/>
  </w:num>
  <w:num w:numId="16">
    <w:abstractNumId w:val="29"/>
  </w:num>
  <w:num w:numId="17">
    <w:abstractNumId w:val="25"/>
  </w:num>
  <w:num w:numId="18">
    <w:abstractNumId w:val="8"/>
  </w:num>
  <w:num w:numId="19">
    <w:abstractNumId w:val="23"/>
  </w:num>
  <w:num w:numId="20">
    <w:abstractNumId w:val="31"/>
  </w:num>
  <w:num w:numId="21">
    <w:abstractNumId w:val="0"/>
  </w:num>
  <w:num w:numId="22">
    <w:abstractNumId w:val="16"/>
  </w:num>
  <w:num w:numId="23">
    <w:abstractNumId w:val="19"/>
  </w:num>
  <w:num w:numId="24">
    <w:abstractNumId w:val="7"/>
  </w:num>
  <w:num w:numId="25">
    <w:abstractNumId w:val="15"/>
  </w:num>
  <w:num w:numId="26">
    <w:abstractNumId w:val="34"/>
  </w:num>
  <w:num w:numId="27">
    <w:abstractNumId w:val="32"/>
  </w:num>
  <w:num w:numId="28">
    <w:abstractNumId w:val="33"/>
  </w:num>
  <w:num w:numId="29">
    <w:abstractNumId w:val="18"/>
  </w:num>
  <w:num w:numId="30">
    <w:abstractNumId w:val="5"/>
  </w:num>
  <w:num w:numId="31">
    <w:abstractNumId w:val="38"/>
  </w:num>
  <w:num w:numId="32">
    <w:abstractNumId w:val="37"/>
  </w:num>
  <w:num w:numId="33">
    <w:abstractNumId w:val="40"/>
  </w:num>
  <w:num w:numId="34">
    <w:abstractNumId w:val="43"/>
  </w:num>
  <w:num w:numId="35">
    <w:abstractNumId w:val="3"/>
  </w:num>
  <w:num w:numId="36">
    <w:abstractNumId w:val="9"/>
  </w:num>
  <w:num w:numId="37">
    <w:abstractNumId w:val="35"/>
  </w:num>
  <w:num w:numId="38">
    <w:abstractNumId w:val="13"/>
  </w:num>
  <w:num w:numId="39">
    <w:abstractNumId w:val="41"/>
  </w:num>
  <w:num w:numId="40">
    <w:abstractNumId w:val="28"/>
  </w:num>
  <w:num w:numId="41">
    <w:abstractNumId w:val="4"/>
  </w:num>
  <w:num w:numId="42">
    <w:abstractNumId w:val="11"/>
  </w:num>
  <w:num w:numId="43">
    <w:abstractNumId w:val="12"/>
  </w:num>
  <w:num w:numId="44">
    <w:abstractNumId w:val="30"/>
  </w:num>
  <w:num w:numId="45">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F0C"/>
    <w:rsid w:val="000152D2"/>
    <w:rsid w:val="000154D3"/>
    <w:rsid w:val="000163FC"/>
    <w:rsid w:val="00016CFE"/>
    <w:rsid w:val="00030E11"/>
    <w:rsid w:val="00044155"/>
    <w:rsid w:val="00046243"/>
    <w:rsid w:val="00054A7D"/>
    <w:rsid w:val="000630A6"/>
    <w:rsid w:val="00073C0A"/>
    <w:rsid w:val="00096F53"/>
    <w:rsid w:val="000A3B39"/>
    <w:rsid w:val="000A70CC"/>
    <w:rsid w:val="000A73A1"/>
    <w:rsid w:val="000C5AB0"/>
    <w:rsid w:val="000C7704"/>
    <w:rsid w:val="000E1D86"/>
    <w:rsid w:val="000E7559"/>
    <w:rsid w:val="00110138"/>
    <w:rsid w:val="00126E18"/>
    <w:rsid w:val="00130FFE"/>
    <w:rsid w:val="00146630"/>
    <w:rsid w:val="001507E5"/>
    <w:rsid w:val="001752D5"/>
    <w:rsid w:val="00192E42"/>
    <w:rsid w:val="001B698F"/>
    <w:rsid w:val="001B71BE"/>
    <w:rsid w:val="001E054E"/>
    <w:rsid w:val="001F0BBE"/>
    <w:rsid w:val="00221883"/>
    <w:rsid w:val="00222A95"/>
    <w:rsid w:val="0022421C"/>
    <w:rsid w:val="00230038"/>
    <w:rsid w:val="00232B7B"/>
    <w:rsid w:val="00236DC3"/>
    <w:rsid w:val="00244C1D"/>
    <w:rsid w:val="00250C43"/>
    <w:rsid w:val="00251C7E"/>
    <w:rsid w:val="0026267C"/>
    <w:rsid w:val="00272CD1"/>
    <w:rsid w:val="002732A4"/>
    <w:rsid w:val="0028177C"/>
    <w:rsid w:val="002A4D8A"/>
    <w:rsid w:val="002A50EC"/>
    <w:rsid w:val="002E0C15"/>
    <w:rsid w:val="00307BDB"/>
    <w:rsid w:val="00314FD2"/>
    <w:rsid w:val="00334368"/>
    <w:rsid w:val="00335F35"/>
    <w:rsid w:val="003367D2"/>
    <w:rsid w:val="0034650A"/>
    <w:rsid w:val="00360772"/>
    <w:rsid w:val="00364D04"/>
    <w:rsid w:val="00365880"/>
    <w:rsid w:val="00376141"/>
    <w:rsid w:val="00396846"/>
    <w:rsid w:val="003A72BE"/>
    <w:rsid w:val="003B263A"/>
    <w:rsid w:val="003B4F3B"/>
    <w:rsid w:val="003B5E8D"/>
    <w:rsid w:val="003D0BF3"/>
    <w:rsid w:val="003E0F1B"/>
    <w:rsid w:val="004241DC"/>
    <w:rsid w:val="004328F9"/>
    <w:rsid w:val="00446C68"/>
    <w:rsid w:val="00461A7C"/>
    <w:rsid w:val="00463C11"/>
    <w:rsid w:val="00486280"/>
    <w:rsid w:val="00486DDF"/>
    <w:rsid w:val="004A27A3"/>
    <w:rsid w:val="004A448B"/>
    <w:rsid w:val="004A72DB"/>
    <w:rsid w:val="004B3E0E"/>
    <w:rsid w:val="004D253E"/>
    <w:rsid w:val="004E3837"/>
    <w:rsid w:val="004E7BF8"/>
    <w:rsid w:val="004F081C"/>
    <w:rsid w:val="00507009"/>
    <w:rsid w:val="005101D3"/>
    <w:rsid w:val="00527373"/>
    <w:rsid w:val="005406AA"/>
    <w:rsid w:val="00553B9C"/>
    <w:rsid w:val="005570D2"/>
    <w:rsid w:val="00560E00"/>
    <w:rsid w:val="00560EDF"/>
    <w:rsid w:val="005641C7"/>
    <w:rsid w:val="0056759A"/>
    <w:rsid w:val="005761B8"/>
    <w:rsid w:val="005A3E03"/>
    <w:rsid w:val="005A4B44"/>
    <w:rsid w:val="005B4D1F"/>
    <w:rsid w:val="005B536C"/>
    <w:rsid w:val="005C2C89"/>
    <w:rsid w:val="005C316D"/>
    <w:rsid w:val="005D0027"/>
    <w:rsid w:val="005D5EEB"/>
    <w:rsid w:val="005E3E3F"/>
    <w:rsid w:val="0060281D"/>
    <w:rsid w:val="00602AC9"/>
    <w:rsid w:val="00624E00"/>
    <w:rsid w:val="006437D0"/>
    <w:rsid w:val="006473D3"/>
    <w:rsid w:val="006513BA"/>
    <w:rsid w:val="006653E7"/>
    <w:rsid w:val="00671A59"/>
    <w:rsid w:val="00674BE9"/>
    <w:rsid w:val="00676FBD"/>
    <w:rsid w:val="00680E61"/>
    <w:rsid w:val="0068687E"/>
    <w:rsid w:val="006976A7"/>
    <w:rsid w:val="006A1348"/>
    <w:rsid w:val="006C47C6"/>
    <w:rsid w:val="006C7D8A"/>
    <w:rsid w:val="006D626A"/>
    <w:rsid w:val="007002AC"/>
    <w:rsid w:val="00707619"/>
    <w:rsid w:val="0071131C"/>
    <w:rsid w:val="00727B91"/>
    <w:rsid w:val="00751192"/>
    <w:rsid w:val="007738C5"/>
    <w:rsid w:val="00784F21"/>
    <w:rsid w:val="00785C84"/>
    <w:rsid w:val="00787378"/>
    <w:rsid w:val="00793B12"/>
    <w:rsid w:val="007A412C"/>
    <w:rsid w:val="007B57F8"/>
    <w:rsid w:val="007C1BFE"/>
    <w:rsid w:val="007D7A59"/>
    <w:rsid w:val="0080050B"/>
    <w:rsid w:val="008065DA"/>
    <w:rsid w:val="00815A20"/>
    <w:rsid w:val="008230BA"/>
    <w:rsid w:val="00836714"/>
    <w:rsid w:val="00837870"/>
    <w:rsid w:val="008462E2"/>
    <w:rsid w:val="008539FB"/>
    <w:rsid w:val="00854DF4"/>
    <w:rsid w:val="008605B6"/>
    <w:rsid w:val="00861C65"/>
    <w:rsid w:val="0086549D"/>
    <w:rsid w:val="008857C7"/>
    <w:rsid w:val="00897864"/>
    <w:rsid w:val="008A578D"/>
    <w:rsid w:val="008D63B5"/>
    <w:rsid w:val="008E0345"/>
    <w:rsid w:val="009072D4"/>
    <w:rsid w:val="00911E7C"/>
    <w:rsid w:val="009138A7"/>
    <w:rsid w:val="00926B99"/>
    <w:rsid w:val="009329BA"/>
    <w:rsid w:val="009357FA"/>
    <w:rsid w:val="00956DEF"/>
    <w:rsid w:val="00963034"/>
    <w:rsid w:val="0098389B"/>
    <w:rsid w:val="009A3107"/>
    <w:rsid w:val="009B04CF"/>
    <w:rsid w:val="009B1A95"/>
    <w:rsid w:val="009D5C57"/>
    <w:rsid w:val="009F2596"/>
    <w:rsid w:val="009F65F6"/>
    <w:rsid w:val="00A1147F"/>
    <w:rsid w:val="00A31DDA"/>
    <w:rsid w:val="00A3547D"/>
    <w:rsid w:val="00A54C03"/>
    <w:rsid w:val="00A62183"/>
    <w:rsid w:val="00A62ACC"/>
    <w:rsid w:val="00A644BE"/>
    <w:rsid w:val="00A64752"/>
    <w:rsid w:val="00AA2206"/>
    <w:rsid w:val="00AA64EB"/>
    <w:rsid w:val="00AC4570"/>
    <w:rsid w:val="00AC49EE"/>
    <w:rsid w:val="00AD7973"/>
    <w:rsid w:val="00AE0AC2"/>
    <w:rsid w:val="00AE2EC9"/>
    <w:rsid w:val="00AE35C5"/>
    <w:rsid w:val="00AE3E3E"/>
    <w:rsid w:val="00AF3AB5"/>
    <w:rsid w:val="00B06C77"/>
    <w:rsid w:val="00B136A9"/>
    <w:rsid w:val="00B167D9"/>
    <w:rsid w:val="00B2652B"/>
    <w:rsid w:val="00B51EC9"/>
    <w:rsid w:val="00B717BB"/>
    <w:rsid w:val="00B900E6"/>
    <w:rsid w:val="00B914AB"/>
    <w:rsid w:val="00B92A6F"/>
    <w:rsid w:val="00BB4094"/>
    <w:rsid w:val="00BC06CD"/>
    <w:rsid w:val="00BF10BC"/>
    <w:rsid w:val="00BF2490"/>
    <w:rsid w:val="00C05F9D"/>
    <w:rsid w:val="00C14133"/>
    <w:rsid w:val="00C23539"/>
    <w:rsid w:val="00C25BA7"/>
    <w:rsid w:val="00C2673A"/>
    <w:rsid w:val="00C279FA"/>
    <w:rsid w:val="00C27CCB"/>
    <w:rsid w:val="00C3161C"/>
    <w:rsid w:val="00C341D3"/>
    <w:rsid w:val="00C62F0C"/>
    <w:rsid w:val="00C67F65"/>
    <w:rsid w:val="00C70C0B"/>
    <w:rsid w:val="00C71EC1"/>
    <w:rsid w:val="00C7498E"/>
    <w:rsid w:val="00C76512"/>
    <w:rsid w:val="00C76F84"/>
    <w:rsid w:val="00C93880"/>
    <w:rsid w:val="00CA2C21"/>
    <w:rsid w:val="00CA7569"/>
    <w:rsid w:val="00CB5124"/>
    <w:rsid w:val="00CC00E7"/>
    <w:rsid w:val="00CC0466"/>
    <w:rsid w:val="00CD65C1"/>
    <w:rsid w:val="00CD717A"/>
    <w:rsid w:val="00CE6BFE"/>
    <w:rsid w:val="00CF2108"/>
    <w:rsid w:val="00CF2C8A"/>
    <w:rsid w:val="00CF3E32"/>
    <w:rsid w:val="00CF5394"/>
    <w:rsid w:val="00CF7048"/>
    <w:rsid w:val="00D13A68"/>
    <w:rsid w:val="00D16EC8"/>
    <w:rsid w:val="00D34976"/>
    <w:rsid w:val="00D46EF3"/>
    <w:rsid w:val="00D52390"/>
    <w:rsid w:val="00D676E0"/>
    <w:rsid w:val="00D7353C"/>
    <w:rsid w:val="00D93CFB"/>
    <w:rsid w:val="00D93D04"/>
    <w:rsid w:val="00D97C4C"/>
    <w:rsid w:val="00DA38D6"/>
    <w:rsid w:val="00DB40BC"/>
    <w:rsid w:val="00DD08CB"/>
    <w:rsid w:val="00DD10EB"/>
    <w:rsid w:val="00DD33A7"/>
    <w:rsid w:val="00DE50D6"/>
    <w:rsid w:val="00DF5CDC"/>
    <w:rsid w:val="00E00629"/>
    <w:rsid w:val="00E07A52"/>
    <w:rsid w:val="00E20A0A"/>
    <w:rsid w:val="00E22ACF"/>
    <w:rsid w:val="00E355AB"/>
    <w:rsid w:val="00E40F8C"/>
    <w:rsid w:val="00E51C12"/>
    <w:rsid w:val="00E65621"/>
    <w:rsid w:val="00E72685"/>
    <w:rsid w:val="00E92D2B"/>
    <w:rsid w:val="00E95C14"/>
    <w:rsid w:val="00E9733F"/>
    <w:rsid w:val="00EB3AF8"/>
    <w:rsid w:val="00EC622E"/>
    <w:rsid w:val="00ED7ED5"/>
    <w:rsid w:val="00F07AB4"/>
    <w:rsid w:val="00F13309"/>
    <w:rsid w:val="00F17978"/>
    <w:rsid w:val="00F20A3A"/>
    <w:rsid w:val="00F26BB0"/>
    <w:rsid w:val="00F321C4"/>
    <w:rsid w:val="00F33537"/>
    <w:rsid w:val="00F5308F"/>
    <w:rsid w:val="00F53F8C"/>
    <w:rsid w:val="00F55606"/>
    <w:rsid w:val="00F5626F"/>
    <w:rsid w:val="00F703A9"/>
    <w:rsid w:val="00F74542"/>
    <w:rsid w:val="00F76334"/>
    <w:rsid w:val="00F9263E"/>
    <w:rsid w:val="00F92F28"/>
    <w:rsid w:val="00F96352"/>
    <w:rsid w:val="00FA0F89"/>
    <w:rsid w:val="00FB509E"/>
    <w:rsid w:val="00FC591C"/>
    <w:rsid w:val="00FE4753"/>
    <w:rsid w:val="00FF0E51"/>
    <w:rsid w:val="00FF4D08"/>
    <w:rsid w:val="00FF6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C2397"/>
  <w15:docId w15:val="{68679A1F-AC04-4315-BB00-384BB560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2"/>
    <w:lsdException w:name="Medium Grid 2" w:uiPriority="68"/>
    <w:lsdException w:name="Medium Grid 3" w:uiPriority="64"/>
    <w:lsdException w:name="Dark List" w:uiPriority="70"/>
    <w:lsdException w:name="Colorful Shading" w:uiPriority="71"/>
    <w:lsdException w:name="Colorful List" w:uiPriority="72"/>
    <w:lsdException w:name="Colorful Grid" w:uiPriority="29"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352"/>
    <w:pPr>
      <w:spacing w:after="0"/>
      <w:jc w:val="both"/>
    </w:pPr>
    <w:rPr>
      <w:sz w:val="20"/>
    </w:rPr>
  </w:style>
  <w:style w:type="paragraph" w:styleId="Titre1">
    <w:name w:val="heading 1"/>
    <w:basedOn w:val="Normal"/>
    <w:next w:val="Normal"/>
    <w:link w:val="Titre1Car"/>
    <w:qFormat/>
    <w:rsid w:val="00C62F0C"/>
    <w:pPr>
      <w:keepNext/>
      <w:keepLines/>
      <w:pBdr>
        <w:bottom w:val="single" w:sz="12" w:space="1" w:color="35738B"/>
      </w:pBdr>
      <w:spacing w:before="480"/>
      <w:outlineLvl w:val="0"/>
    </w:pPr>
    <w:rPr>
      <w:rFonts w:ascii="PT Serif" w:eastAsiaTheme="majorEastAsia" w:hAnsi="PT Serif" w:cstheme="majorBidi"/>
      <w:b/>
      <w:bCs/>
      <w:color w:val="35738B"/>
      <w:sz w:val="32"/>
      <w:szCs w:val="28"/>
    </w:rPr>
  </w:style>
  <w:style w:type="paragraph" w:styleId="Titre2">
    <w:name w:val="heading 2"/>
    <w:aliases w:val="Titre2,Titre 2 Car1,2,(cntl 2),(SubSection),h2,Para Nos,Para,Main Heading,Main Headi,Numbered - 2,(Main Heading),Paragraph,Sub Heading,ignorer2,Oscar Faber 2,Headline 2,headi,heading2,h21,h22,21,H2,l2,kopregel 2,Dossier Head 2,heading 2,2H,2H1"/>
    <w:basedOn w:val="Normal"/>
    <w:next w:val="Normal"/>
    <w:link w:val="Titre2Car"/>
    <w:unhideWhenUsed/>
    <w:qFormat/>
    <w:rsid w:val="00221883"/>
    <w:pPr>
      <w:keepNext/>
      <w:keepLines/>
      <w:spacing w:before="120" w:after="120"/>
      <w:outlineLvl w:val="1"/>
    </w:pPr>
    <w:rPr>
      <w:rFonts w:eastAsiaTheme="majorEastAsia" w:cstheme="majorBidi"/>
      <w:b/>
      <w:bCs/>
      <w:color w:val="555555"/>
      <w:sz w:val="26"/>
      <w:szCs w:val="26"/>
    </w:rPr>
  </w:style>
  <w:style w:type="paragraph" w:styleId="Titre3">
    <w:name w:val="heading 3"/>
    <w:basedOn w:val="Normal"/>
    <w:next w:val="Normal"/>
    <w:link w:val="Titre3Car"/>
    <w:uiPriority w:val="9"/>
    <w:unhideWhenUsed/>
    <w:qFormat/>
    <w:rsid w:val="002A4D8A"/>
    <w:pPr>
      <w:keepNext/>
      <w:keepLines/>
      <w:spacing w:before="200"/>
      <w:outlineLvl w:val="2"/>
    </w:pPr>
    <w:rPr>
      <w:rFonts w:ascii="PT Serif" w:eastAsiaTheme="majorEastAsia" w:hAnsi="PT Serif" w:cstheme="majorBidi"/>
      <w:b/>
      <w:bCs/>
      <w:color w:val="35738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84F21"/>
    <w:pPr>
      <w:pBdr>
        <w:top w:val="single" w:sz="8" w:space="1" w:color="35738B"/>
        <w:bottom w:val="single" w:sz="8" w:space="4" w:color="35738B"/>
      </w:pBdr>
      <w:spacing w:after="300" w:line="240" w:lineRule="auto"/>
      <w:contextualSpacing/>
      <w:jc w:val="center"/>
    </w:pPr>
    <w:rPr>
      <w:rFonts w:eastAsiaTheme="majorEastAsia" w:cstheme="majorBidi"/>
      <w:color w:val="35738B"/>
      <w:spacing w:val="5"/>
      <w:kern w:val="28"/>
      <w:sz w:val="44"/>
      <w:szCs w:val="52"/>
    </w:rPr>
  </w:style>
  <w:style w:type="character" w:customStyle="1" w:styleId="TitreCar">
    <w:name w:val="Titre Car"/>
    <w:basedOn w:val="Policepardfaut"/>
    <w:link w:val="Titre"/>
    <w:uiPriority w:val="10"/>
    <w:rsid w:val="00784F21"/>
    <w:rPr>
      <w:rFonts w:ascii="Century Gothic" w:eastAsiaTheme="majorEastAsia" w:hAnsi="Century Gothic" w:cstheme="majorBidi"/>
      <w:color w:val="35738B"/>
      <w:spacing w:val="5"/>
      <w:kern w:val="28"/>
      <w:sz w:val="44"/>
      <w:szCs w:val="52"/>
    </w:rPr>
  </w:style>
  <w:style w:type="character" w:customStyle="1" w:styleId="Titre1Car">
    <w:name w:val="Titre 1 Car"/>
    <w:basedOn w:val="Policepardfaut"/>
    <w:link w:val="Titre1"/>
    <w:rsid w:val="00C62F0C"/>
    <w:rPr>
      <w:rFonts w:ascii="PT Serif" w:eastAsiaTheme="majorEastAsia" w:hAnsi="PT Serif" w:cstheme="majorBidi"/>
      <w:b/>
      <w:bCs/>
      <w:color w:val="35738B"/>
      <w:sz w:val="32"/>
      <w:szCs w:val="28"/>
    </w:rPr>
  </w:style>
  <w:style w:type="character" w:customStyle="1" w:styleId="Titre2Car">
    <w:name w:val="Titre 2 Car"/>
    <w:aliases w:val="Titre2 Car,Titre 2 Car1 Car,2 Car,(cntl 2) Car,(SubSection) Car,h2 Car,Para Nos Car,Para Car,Main Heading Car,Main Headi Car,Numbered - 2 Car,(Main Heading) Car,Paragraph Car,Sub Heading Car,ignorer2 Car,Oscar Faber 2 Car,Headline 2 Car"/>
    <w:basedOn w:val="Policepardfaut"/>
    <w:link w:val="Titre2"/>
    <w:rsid w:val="00221883"/>
    <w:rPr>
      <w:rFonts w:eastAsiaTheme="majorEastAsia" w:cstheme="majorBidi"/>
      <w:b/>
      <w:bCs/>
      <w:color w:val="555555"/>
      <w:sz w:val="26"/>
      <w:szCs w:val="26"/>
    </w:rPr>
  </w:style>
  <w:style w:type="paragraph" w:styleId="Sous-titre">
    <w:name w:val="Subtitle"/>
    <w:basedOn w:val="Normal"/>
    <w:next w:val="Normal"/>
    <w:link w:val="Sous-titreCar"/>
    <w:uiPriority w:val="11"/>
    <w:qFormat/>
    <w:rsid w:val="006C7D8A"/>
    <w:pPr>
      <w:numPr>
        <w:ilvl w:val="1"/>
      </w:numPr>
    </w:pPr>
    <w:rPr>
      <w:rFonts w:eastAsiaTheme="majorEastAsia" w:cstheme="majorBidi"/>
      <w:i/>
      <w:iCs/>
      <w:color w:val="35738B"/>
      <w:spacing w:val="15"/>
      <w:sz w:val="24"/>
      <w:szCs w:val="24"/>
    </w:rPr>
  </w:style>
  <w:style w:type="character" w:customStyle="1" w:styleId="Sous-titreCar">
    <w:name w:val="Sous-titre Car"/>
    <w:basedOn w:val="Policepardfaut"/>
    <w:link w:val="Sous-titre"/>
    <w:uiPriority w:val="11"/>
    <w:rsid w:val="006C7D8A"/>
    <w:rPr>
      <w:rFonts w:ascii="Century Gothic" w:eastAsiaTheme="majorEastAsia" w:hAnsi="Century Gothic" w:cstheme="majorBidi"/>
      <w:i/>
      <w:iCs/>
      <w:color w:val="35738B"/>
      <w:spacing w:val="15"/>
      <w:sz w:val="24"/>
      <w:szCs w:val="24"/>
    </w:rPr>
  </w:style>
  <w:style w:type="table" w:styleId="Grilledutableau">
    <w:name w:val="Table Grid"/>
    <w:basedOn w:val="TableauNormal"/>
    <w:rsid w:val="006C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6C7D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lleclaire">
    <w:name w:val="Light Grid"/>
    <w:basedOn w:val="TableauNormal"/>
    <w:uiPriority w:val="62"/>
    <w:rsid w:val="006C7D8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auEEFgnrique1colonne">
    <w:name w:val="Tableau EEF générique 1 colonne"/>
    <w:basedOn w:val="TableauNormal"/>
    <w:uiPriority w:val="99"/>
    <w:rsid w:val="006C7D8A"/>
    <w:pPr>
      <w:spacing w:after="0" w:line="240" w:lineRule="auto"/>
    </w:pPr>
    <w:rPr>
      <w:rFonts w:ascii="Century Gothic" w:hAnsi="Century Gothic"/>
    </w:rPr>
    <w:tblPr/>
  </w:style>
  <w:style w:type="table" w:customStyle="1" w:styleId="TableauEEFgenerique1colonne">
    <w:name w:val="Tableau EEF generique 1 colonne"/>
    <w:basedOn w:val="Thmedutableau"/>
    <w:uiPriority w:val="99"/>
    <w:rsid w:val="005A4B44"/>
    <w:pPr>
      <w:spacing w:line="240" w:lineRule="auto"/>
    </w:pPr>
    <w:rPr>
      <w:rFonts w:ascii="PT Serif" w:hAnsi="PT Serif"/>
      <w:color w:val="35738B"/>
      <w:spacing w:val="20"/>
      <w:sz w:val="20"/>
      <w:szCs w:val="20"/>
      <w:lang w:val="en-US" w:eastAsia="fr-FR"/>
    </w:rPr>
    <w:tblPr>
      <w:tblStyleRowBandSize w:val="1"/>
      <w:jc w:val="center"/>
      <w:tblBorders>
        <w:top w:val="single" w:sz="4" w:space="0" w:color="35738B"/>
        <w:left w:val="single" w:sz="4" w:space="0" w:color="35738B"/>
        <w:bottom w:val="single" w:sz="4" w:space="0" w:color="35738B"/>
        <w:right w:val="single" w:sz="4" w:space="0" w:color="35738B"/>
        <w:insideH w:val="single" w:sz="4" w:space="0" w:color="35738B"/>
        <w:insideV w:val="single" w:sz="4" w:space="0" w:color="35738B"/>
      </w:tblBorders>
    </w:tblPr>
    <w:trPr>
      <w:jc w:val="center"/>
    </w:trPr>
    <w:tcPr>
      <w:vAlign w:val="center"/>
    </w:tcPr>
    <w:tblStylePr w:type="firstRow">
      <w:pPr>
        <w:jc w:val="center"/>
      </w:pPr>
      <w:rPr>
        <w:rFonts w:ascii="PT Serif" w:hAnsi="PT Serif" w:cstheme="majorBidi"/>
        <w:b/>
        <w:bCs/>
        <w:color w:val="35738B"/>
        <w:sz w:val="28"/>
      </w:rPr>
      <w:tblPr/>
      <w:tcPr>
        <w:shd w:val="clear" w:color="auto" w:fill="FFFFFF" w:themeFill="background1"/>
        <w:vAlign w:val="center"/>
      </w:tcPr>
    </w:tblStylePr>
    <w:tblStylePr w:type="lastRow">
      <w:pPr>
        <w:jc w:val="left"/>
      </w:pPr>
      <w:rPr>
        <w:rFonts w:ascii="Century Gothic" w:eastAsiaTheme="majorEastAsia" w:hAnsi="Century Gothic" w:cstheme="majorBidi"/>
        <w:b/>
        <w:bCs/>
        <w:sz w:val="22"/>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vAlign w:val="center"/>
      </w:tcPr>
    </w:tblStylePr>
    <w:tblStylePr w:type="firstCol">
      <w:rPr>
        <w:rFonts w:ascii="Century Gothic" w:eastAsiaTheme="majorEastAsia" w:hAnsi="Century Gothic" w:cstheme="majorBidi"/>
        <w:b w:val="0"/>
        <w:bCs/>
        <w:sz w:val="20"/>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FFFFFF" w:themeFill="background1"/>
      </w:tcPr>
    </w:tblStylePr>
    <w:tblStylePr w:type="band2Vert">
      <w:tblPr/>
      <w:tcPr>
        <w:shd w:val="clear" w:color="auto" w:fill="35738B"/>
      </w:tcPr>
    </w:tblStylePr>
    <w:tblStylePr w:type="band1Horz">
      <w:pPr>
        <w:jc w:val="left"/>
      </w:pPr>
      <w:rPr>
        <w:rFonts w:ascii="Century Gothic" w:hAnsi="Century Gothic"/>
        <w:color w:val="FFFFFF" w:themeColor="background1"/>
        <w:sz w:val="22"/>
      </w:rPr>
      <w:tblPr/>
      <w:tcPr>
        <w:shd w:val="clear" w:color="auto" w:fill="35738B"/>
        <w:vAlign w:val="center"/>
      </w:tcPr>
    </w:tblStylePr>
    <w:tblStylePr w:type="band2Horz">
      <w:rPr>
        <w:rFonts w:ascii="Century Gothic" w:hAnsi="Century Gothic"/>
        <w:color w:val="FFFFFF" w:themeColor="background1"/>
        <w:sz w:val="22"/>
      </w:rPr>
      <w:tblPr/>
      <w:tcPr>
        <w:shd w:val="clear" w:color="auto" w:fill="FFFFFF" w:themeFill="background1"/>
      </w:tcPr>
    </w:tblStylePr>
  </w:style>
  <w:style w:type="paragraph" w:styleId="Notedebasdepage">
    <w:name w:val="footnote text"/>
    <w:aliases w:val="Car,Note de bas de page Car1,Note de bas de page Car Car Car,Note de bas de page Car1 Car Car,Car Car Car Car,Note de bas de page1,Car Car Car1 Car Car,Note de bas de page Car Car,Note de bas de page Car Car Car Car Car,Footnote"/>
    <w:basedOn w:val="Normal"/>
    <w:link w:val="NotedebasdepageCar"/>
    <w:autoRedefine/>
    <w:uiPriority w:val="99"/>
    <w:unhideWhenUsed/>
    <w:qFormat/>
    <w:rsid w:val="006C47C6"/>
    <w:pPr>
      <w:spacing w:line="240" w:lineRule="auto"/>
    </w:pPr>
    <w:rPr>
      <w:sz w:val="16"/>
      <w:szCs w:val="20"/>
    </w:rPr>
  </w:style>
  <w:style w:type="character" w:customStyle="1" w:styleId="NotedebasdepageCar">
    <w:name w:val="Note de bas de page Car"/>
    <w:aliases w:val="Car Car,Note de bas de page Car1 Car,Note de bas de page Car Car Car Car,Note de bas de page Car1 Car Car Car,Car Car Car Car Car,Note de bas de page1 Car,Car Car Car1 Car Car Car,Note de bas de page Car Car Car1,Footnote Car"/>
    <w:basedOn w:val="Policepardfaut"/>
    <w:link w:val="Notedebasdepage"/>
    <w:uiPriority w:val="99"/>
    <w:rsid w:val="006C47C6"/>
    <w:rPr>
      <w:sz w:val="16"/>
      <w:szCs w:val="20"/>
    </w:rPr>
  </w:style>
  <w:style w:type="table" w:styleId="Thmedutableau">
    <w:name w:val="Table Theme"/>
    <w:basedOn w:val="TableauNormal"/>
    <w:uiPriority w:val="99"/>
    <w:semiHidden/>
    <w:unhideWhenUsed/>
    <w:rsid w:val="005A4B44"/>
    <w:pPr>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aliases w:val="Footnote symbol,Footnote s,Times 10 Point,Exposant 3 Point,Exposant 3,Expos, Exposant 3 Point,Exposant 3 ,Appel note de bas de p,Texte Appel note de bas de p.,Footnote call,Footnote Reference Superscript,Footnote Refernece"/>
    <w:basedOn w:val="Policepardfaut"/>
    <w:unhideWhenUsed/>
    <w:qFormat/>
    <w:rsid w:val="005A4B44"/>
    <w:rPr>
      <w:vertAlign w:val="superscript"/>
    </w:rPr>
  </w:style>
  <w:style w:type="paragraph" w:styleId="En-tte">
    <w:name w:val="header"/>
    <w:basedOn w:val="Normal"/>
    <w:link w:val="En-tteCar"/>
    <w:uiPriority w:val="99"/>
    <w:unhideWhenUsed/>
    <w:rsid w:val="00D97C4C"/>
    <w:pPr>
      <w:tabs>
        <w:tab w:val="center" w:pos="4536"/>
        <w:tab w:val="right" w:pos="9072"/>
      </w:tabs>
      <w:spacing w:line="240" w:lineRule="auto"/>
    </w:pPr>
  </w:style>
  <w:style w:type="character" w:customStyle="1" w:styleId="En-tteCar">
    <w:name w:val="En-tête Car"/>
    <w:basedOn w:val="Policepardfaut"/>
    <w:link w:val="En-tte"/>
    <w:uiPriority w:val="99"/>
    <w:rsid w:val="00D97C4C"/>
    <w:rPr>
      <w:rFonts w:ascii="Century Gothic" w:hAnsi="Century Gothic"/>
    </w:rPr>
  </w:style>
  <w:style w:type="paragraph" w:styleId="Pieddepage">
    <w:name w:val="footer"/>
    <w:basedOn w:val="Normal"/>
    <w:link w:val="PieddepageCar"/>
    <w:uiPriority w:val="99"/>
    <w:unhideWhenUsed/>
    <w:rsid w:val="00D97C4C"/>
    <w:pPr>
      <w:tabs>
        <w:tab w:val="center" w:pos="4536"/>
        <w:tab w:val="right" w:pos="9072"/>
      </w:tabs>
      <w:spacing w:line="240" w:lineRule="auto"/>
    </w:pPr>
  </w:style>
  <w:style w:type="character" w:customStyle="1" w:styleId="PieddepageCar">
    <w:name w:val="Pied de page Car"/>
    <w:basedOn w:val="Policepardfaut"/>
    <w:link w:val="Pieddepage"/>
    <w:uiPriority w:val="99"/>
    <w:rsid w:val="00D97C4C"/>
    <w:rPr>
      <w:rFonts w:ascii="Century Gothic" w:hAnsi="Century Gothic"/>
    </w:rPr>
  </w:style>
  <w:style w:type="paragraph" w:styleId="Paragraphedeliste">
    <w:name w:val="List Paragraph"/>
    <w:basedOn w:val="Normal"/>
    <w:link w:val="ParagraphedelisteCar"/>
    <w:uiPriority w:val="34"/>
    <w:qFormat/>
    <w:rsid w:val="00C62F0C"/>
    <w:pPr>
      <w:spacing w:after="160" w:line="300" w:lineRule="auto"/>
      <w:ind w:left="720"/>
      <w:contextualSpacing/>
      <w:jc w:val="left"/>
    </w:pPr>
    <w:rPr>
      <w:rFonts w:eastAsia="MS Mincho" w:cs="Times New Roman"/>
      <w:szCs w:val="21"/>
      <w:lang w:eastAsia="fr-FR"/>
    </w:rPr>
  </w:style>
  <w:style w:type="character" w:customStyle="1" w:styleId="ParagraphedelisteCar">
    <w:name w:val="Paragraphe de liste Car"/>
    <w:basedOn w:val="Policepardfaut"/>
    <w:link w:val="Paragraphedeliste"/>
    <w:uiPriority w:val="34"/>
    <w:rsid w:val="00C62F0C"/>
    <w:rPr>
      <w:rFonts w:ascii="Century Gothic" w:eastAsia="MS Mincho" w:hAnsi="Century Gothic" w:cs="Times New Roman"/>
      <w:szCs w:val="21"/>
      <w:lang w:eastAsia="fr-FR"/>
    </w:rPr>
  </w:style>
  <w:style w:type="character" w:customStyle="1" w:styleId="st">
    <w:name w:val="st"/>
    <w:basedOn w:val="Policepardfaut"/>
    <w:rsid w:val="00C62F0C"/>
  </w:style>
  <w:style w:type="character" w:styleId="Lienhypertexte">
    <w:name w:val="Hyperlink"/>
    <w:uiPriority w:val="99"/>
    <w:unhideWhenUsed/>
    <w:rsid w:val="00C62F0C"/>
    <w:rPr>
      <w:color w:val="0000FF"/>
      <w:u w:val="single"/>
    </w:rPr>
  </w:style>
  <w:style w:type="character" w:customStyle="1" w:styleId="A5">
    <w:name w:val="A5"/>
    <w:uiPriority w:val="99"/>
    <w:rsid w:val="00C62F0C"/>
    <w:rPr>
      <w:rFonts w:cs="EC Square Sans Pro Light"/>
      <w:color w:val="000000"/>
      <w:sz w:val="18"/>
      <w:szCs w:val="18"/>
    </w:rPr>
  </w:style>
  <w:style w:type="paragraph" w:customStyle="1" w:styleId="Normalblancpucs">
    <w:name w:val="Normal blanc pucs"/>
    <w:basedOn w:val="Normal"/>
    <w:qFormat/>
    <w:rsid w:val="00C62F0C"/>
    <w:pPr>
      <w:numPr>
        <w:numId w:val="2"/>
      </w:numPr>
      <w:spacing w:after="40"/>
      <w:jc w:val="left"/>
    </w:pPr>
    <w:rPr>
      <w:rFonts w:eastAsia="MS Mincho" w:cs="EC Square Sans Pro Light"/>
      <w:bCs/>
      <w:color w:val="FFFFFF" w:themeColor="background1"/>
      <w:szCs w:val="20"/>
      <w:lang w:eastAsia="fr-FR"/>
    </w:rPr>
  </w:style>
  <w:style w:type="paragraph" w:customStyle="1" w:styleId="Normalblanc">
    <w:name w:val="Normal blanc"/>
    <w:basedOn w:val="Normal"/>
    <w:qFormat/>
    <w:rsid w:val="00C62F0C"/>
    <w:pPr>
      <w:spacing w:after="160" w:line="300" w:lineRule="auto"/>
      <w:jc w:val="left"/>
    </w:pPr>
    <w:rPr>
      <w:rFonts w:eastAsia="MS Mincho" w:cs="Times New Roman"/>
      <w:bCs/>
      <w:color w:val="FFFFFF" w:themeColor="background1"/>
      <w:szCs w:val="20"/>
      <w:lang w:eastAsia="fr-FR"/>
    </w:rPr>
  </w:style>
  <w:style w:type="paragraph" w:customStyle="1" w:styleId="Normalgrasvertcentre">
    <w:name w:val="Normal gras vert centre"/>
    <w:basedOn w:val="Normal"/>
    <w:qFormat/>
    <w:rsid w:val="00C62F0C"/>
    <w:pPr>
      <w:spacing w:after="120" w:line="300" w:lineRule="auto"/>
      <w:ind w:left="720"/>
      <w:jc w:val="center"/>
    </w:pPr>
    <w:rPr>
      <w:rFonts w:eastAsia="MS Mincho" w:cs="Times New Roman"/>
      <w:b/>
      <w:bCs/>
      <w:color w:val="35738B"/>
      <w:szCs w:val="21"/>
      <w:lang w:eastAsia="fr-FR"/>
    </w:rPr>
  </w:style>
  <w:style w:type="paragraph" w:customStyle="1" w:styleId="Normalblanccentr">
    <w:name w:val="Normal blanc centré"/>
    <w:basedOn w:val="Normalblancpucs"/>
    <w:qFormat/>
    <w:rsid w:val="00C62F0C"/>
    <w:pPr>
      <w:numPr>
        <w:numId w:val="0"/>
      </w:numPr>
      <w:jc w:val="center"/>
    </w:pPr>
    <w:rPr>
      <w:b/>
      <w:bCs w:val="0"/>
    </w:rPr>
  </w:style>
  <w:style w:type="table" w:styleId="Grillecouleur">
    <w:name w:val="Colorful Grid"/>
    <w:basedOn w:val="TableauNormal"/>
    <w:uiPriority w:val="29"/>
    <w:qFormat/>
    <w:rsid w:val="00C62F0C"/>
    <w:pPr>
      <w:spacing w:after="0" w:line="240" w:lineRule="auto"/>
    </w:pPr>
    <w:rPr>
      <w:rFonts w:ascii="PT Serif" w:eastAsia="MS Mincho" w:hAnsi="PT Serif" w:cs="Times New Roman"/>
      <w:b/>
      <w:color w:val="000000" w:themeColor="text1"/>
      <w:sz w:val="28"/>
      <w:szCs w:val="20"/>
      <w:lang w:eastAsia="fr-FR"/>
    </w:rPr>
    <w:tblPr>
      <w:tblStyleRowBandSize w:val="1"/>
      <w:tblStyleColBandSize w:val="1"/>
      <w:tblBorders>
        <w:insideH w:val="single" w:sz="4" w:space="0" w:color="FFFFFF" w:themeColor="background1"/>
      </w:tblBorders>
    </w:tblPr>
    <w:tcPr>
      <w:shd w:val="clear" w:color="auto" w:fill="A8B9B9"/>
    </w:tcPr>
    <w:tblStylePr w:type="firstRow">
      <w:pPr>
        <w:jc w:val="center"/>
      </w:pPr>
      <w:rPr>
        <w:rFonts w:ascii="PT Serif" w:hAnsi="PT Serif"/>
        <w:b/>
        <w:bCs/>
        <w:sz w:val="28"/>
      </w:rPr>
      <w:tblPr/>
      <w:tcPr>
        <w:shd w:val="clear" w:color="auto" w:fill="FFFFFF" w:themeFill="background1"/>
      </w:tcPr>
    </w:tblStylePr>
    <w:tblStylePr w:type="lastRow">
      <w:rPr>
        <w:b/>
        <w:bCs/>
        <w:color w:val="000000" w:themeColor="text1"/>
      </w:rPr>
      <w:tblPr/>
      <w:tcPr>
        <w:shd w:val="clear" w:color="auto" w:fill="999999" w:themeFill="text1" w:themeFillTint="66"/>
      </w:tcPr>
    </w:tblStylePr>
    <w:tblStylePr w:type="firstCol">
      <w:rPr>
        <w:rFonts w:ascii="Century Gothic" w:hAnsi="Century Gothic"/>
        <w:b/>
        <w:color w:val="FFFFFF" w:themeColor="background1"/>
        <w:sz w:val="24"/>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tyle1">
    <w:name w:val="Style1"/>
    <w:basedOn w:val="TableauEEFgenerique1colonne"/>
    <w:uiPriority w:val="99"/>
    <w:rsid w:val="00D13A68"/>
    <w:pPr>
      <w:spacing w:before="120" w:after="120"/>
      <w:ind w:left="113" w:right="567"/>
      <w:jc w:val="center"/>
    </w:pPr>
    <w:rPr>
      <w:sz w:val="24"/>
    </w:rPr>
    <w:tblPr/>
    <w:tblStylePr w:type="firstRow">
      <w:pPr>
        <w:jc w:val="center"/>
      </w:pPr>
      <w:rPr>
        <w:rFonts w:ascii="PT Serif" w:hAnsi="PT Serif" w:cstheme="majorBidi"/>
        <w:b/>
        <w:bCs/>
        <w:color w:val="35738B"/>
        <w:sz w:val="28"/>
      </w:rPr>
      <w:tblPr/>
      <w:tcPr>
        <w:shd w:val="clear" w:color="auto" w:fill="FFFFFF" w:themeFill="background1"/>
        <w:vAlign w:val="center"/>
      </w:tcPr>
    </w:tblStylePr>
    <w:tblStylePr w:type="lastRow">
      <w:pPr>
        <w:jc w:val="left"/>
      </w:pPr>
      <w:rPr>
        <w:rFonts w:asciiTheme="minorHAnsi" w:eastAsiaTheme="majorEastAsia" w:hAnsiTheme="minorHAnsi" w:cstheme="majorBidi"/>
        <w:b/>
        <w:bCs/>
        <w:sz w:val="20"/>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vAlign w:val="center"/>
      </w:tcPr>
    </w:tblStylePr>
    <w:tblStylePr w:type="firstCol">
      <w:rPr>
        <w:rFonts w:asciiTheme="minorHAnsi" w:eastAsiaTheme="majorEastAsia" w:hAnsiTheme="minorHAnsi" w:cstheme="majorBidi"/>
        <w:b/>
        <w:bCs/>
        <w:sz w:val="20"/>
      </w:rPr>
    </w:tblStylePr>
    <w:tblStylePr w:type="lastCol">
      <w:rPr>
        <w:rFonts w:asciiTheme="minorHAnsi" w:eastAsiaTheme="majorEastAsia" w:hAnsiTheme="min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FFFFFF" w:themeFill="background1"/>
      </w:tcPr>
    </w:tblStylePr>
    <w:tblStylePr w:type="band2Vert">
      <w:tblPr/>
      <w:tcPr>
        <w:shd w:val="clear" w:color="auto" w:fill="35738B"/>
      </w:tcPr>
    </w:tblStylePr>
    <w:tblStylePr w:type="band1Horz">
      <w:pPr>
        <w:wordWrap/>
        <w:spacing w:beforeLines="0" w:before="120" w:beforeAutospacing="0" w:afterLines="0" w:after="100" w:afterAutospacing="1"/>
        <w:ind w:leftChars="0" w:left="113" w:rightChars="0" w:right="-113"/>
        <w:jc w:val="left"/>
      </w:pPr>
      <w:rPr>
        <w:rFonts w:asciiTheme="minorHAnsi" w:hAnsiTheme="minorHAnsi"/>
        <w:color w:val="FFFFFF" w:themeColor="background1"/>
        <w:sz w:val="20"/>
      </w:rPr>
      <w:tblPr/>
      <w:tcPr>
        <w:shd w:val="clear" w:color="auto" w:fill="35738B"/>
        <w:vAlign w:val="center"/>
      </w:tcPr>
    </w:tblStylePr>
    <w:tblStylePr w:type="band2Horz">
      <w:pPr>
        <w:jc w:val="left"/>
      </w:pPr>
      <w:rPr>
        <w:rFonts w:asciiTheme="minorHAnsi" w:hAnsiTheme="minorHAnsi"/>
        <w:color w:val="35738B"/>
        <w:sz w:val="20"/>
      </w:rPr>
      <w:tblPr/>
      <w:tcPr>
        <w:shd w:val="clear" w:color="auto" w:fill="FFFFFF" w:themeFill="background1"/>
      </w:tcPr>
    </w:tblStylePr>
  </w:style>
  <w:style w:type="character" w:styleId="Accentuation">
    <w:name w:val="Emphasis"/>
    <w:uiPriority w:val="20"/>
    <w:qFormat/>
    <w:rsid w:val="000152D2"/>
    <w:rPr>
      <w:i/>
      <w:iCs/>
      <w:color w:val="35738B"/>
    </w:rPr>
  </w:style>
  <w:style w:type="paragraph" w:customStyle="1" w:styleId="Normalgrasvert">
    <w:name w:val="Normal gras vert"/>
    <w:basedOn w:val="Normal"/>
    <w:qFormat/>
    <w:rsid w:val="000152D2"/>
    <w:pPr>
      <w:spacing w:after="160" w:line="300" w:lineRule="auto"/>
      <w:jc w:val="left"/>
    </w:pPr>
    <w:rPr>
      <w:rFonts w:eastAsia="MS Mincho" w:cs="Times New Roman"/>
      <w:b/>
      <w:color w:val="35738B"/>
      <w:szCs w:val="21"/>
      <w:lang w:eastAsia="fr-FR"/>
    </w:rPr>
  </w:style>
  <w:style w:type="table" w:customStyle="1" w:styleId="TableauGrille1Clair2">
    <w:name w:val="Tableau Grille 1 Clair2"/>
    <w:basedOn w:val="TableauNormal"/>
    <w:uiPriority w:val="46"/>
    <w:rsid w:val="000152D2"/>
    <w:pPr>
      <w:spacing w:after="0" w:line="240" w:lineRule="auto"/>
    </w:pPr>
    <w:rPr>
      <w:rFonts w:ascii="Calibri" w:eastAsia="MS Mincho" w:hAnsi="Calibri" w:cs="Times New Roman"/>
      <w:sz w:val="20"/>
      <w:szCs w:val="20"/>
      <w:lang w:eastAsia="fr-FR"/>
    </w:rPr>
    <w:tblPr>
      <w:tblStyleRowBandSize w:val="1"/>
      <w:tblStyleColBandSize w:val="1"/>
      <w:tblBorders>
        <w:top w:val="single" w:sz="4" w:space="0" w:color="A2CBDC"/>
        <w:left w:val="single" w:sz="4" w:space="0" w:color="A2CBDC"/>
        <w:bottom w:val="single" w:sz="4" w:space="0" w:color="A2CBDC"/>
        <w:right w:val="single" w:sz="4" w:space="0" w:color="A2CBDC"/>
        <w:insideH w:val="single" w:sz="4" w:space="0" w:color="A2CBDC"/>
        <w:insideV w:val="single" w:sz="4" w:space="0" w:color="A2CBDC"/>
      </w:tblBorders>
    </w:tblPr>
    <w:tblStylePr w:type="firstRow">
      <w:rPr>
        <w:b/>
        <w:bCs/>
      </w:rPr>
      <w:tblPr/>
      <w:tcPr>
        <w:tcBorders>
          <w:bottom w:val="single" w:sz="12" w:space="0" w:color="74B2CA"/>
        </w:tcBorders>
      </w:tcPr>
    </w:tblStylePr>
    <w:tblStylePr w:type="lastRow">
      <w:rPr>
        <w:b/>
        <w:bCs/>
      </w:rPr>
      <w:tblPr/>
      <w:tcPr>
        <w:tcBorders>
          <w:top w:val="double" w:sz="2" w:space="0" w:color="74B2CA"/>
        </w:tcBorders>
      </w:tcPr>
    </w:tblStylePr>
    <w:tblStylePr w:type="firstCol">
      <w:rPr>
        <w:b/>
        <w:bCs/>
      </w:rPr>
    </w:tblStylePr>
    <w:tblStylePr w:type="lastCol">
      <w:rPr>
        <w:b/>
        <w:bCs/>
      </w:rPr>
    </w:tblStylePr>
  </w:style>
  <w:style w:type="table" w:styleId="Grillemoyenne1">
    <w:name w:val="Medium Grid 1"/>
    <w:aliases w:val="Tableau 1 colonne"/>
    <w:basedOn w:val="TableauNormal"/>
    <w:uiPriority w:val="62"/>
    <w:rsid w:val="000152D2"/>
    <w:pPr>
      <w:spacing w:after="0" w:line="240" w:lineRule="auto"/>
    </w:pPr>
    <w:rPr>
      <w:rFonts w:ascii="PT Serif" w:eastAsia="MS Mincho" w:hAnsi="PT Serif" w:cs="Times New Roman"/>
      <w:b/>
      <w:color w:val="35738B"/>
      <w:sz w:val="28"/>
      <w:szCs w:val="20"/>
      <w:lang w:eastAsia="fr-FR"/>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PT Serif" w:hAnsi="PT Serif"/>
        <w:b/>
        <w:bCs/>
        <w:sz w:val="28"/>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rPr>
        <w:rFonts w:ascii="Century Gothic" w:hAnsi="Century Gothic"/>
        <w:b/>
        <w:color w:val="FFFFFF" w:themeColor="background1"/>
        <w:sz w:val="28"/>
      </w:rPr>
      <w:tblPr/>
      <w:tcPr>
        <w:shd w:val="clear" w:color="auto" w:fill="35738B"/>
      </w:tcPr>
    </w:tblStylePr>
    <w:tblStylePr w:type="band2Horz">
      <w:tblPr/>
      <w:tcPr>
        <w:shd w:val="clear" w:color="auto" w:fill="35738B"/>
      </w:tcPr>
    </w:tblStylePr>
  </w:style>
  <w:style w:type="paragraph" w:styleId="Textedebulles">
    <w:name w:val="Balloon Text"/>
    <w:basedOn w:val="Normal"/>
    <w:link w:val="TextedebullesCar"/>
    <w:uiPriority w:val="99"/>
    <w:semiHidden/>
    <w:unhideWhenUsed/>
    <w:rsid w:val="000152D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52D2"/>
    <w:rPr>
      <w:rFonts w:ascii="Tahoma" w:hAnsi="Tahoma" w:cs="Tahoma"/>
      <w:sz w:val="16"/>
      <w:szCs w:val="16"/>
    </w:rPr>
  </w:style>
  <w:style w:type="character" w:styleId="Accentuationlgre">
    <w:name w:val="Subtle Emphasis"/>
    <w:basedOn w:val="Policepardfaut"/>
    <w:uiPriority w:val="19"/>
    <w:qFormat/>
    <w:rsid w:val="000152D2"/>
    <w:rPr>
      <w:i/>
      <w:iCs/>
      <w:color w:val="808080" w:themeColor="text1" w:themeTint="7F"/>
    </w:rPr>
  </w:style>
  <w:style w:type="character" w:styleId="lev">
    <w:name w:val="Strong"/>
    <w:uiPriority w:val="22"/>
    <w:qFormat/>
    <w:rsid w:val="00676FBD"/>
    <w:rPr>
      <w:b/>
      <w:bCs/>
    </w:rPr>
  </w:style>
  <w:style w:type="paragraph" w:customStyle="1" w:styleId="Default">
    <w:name w:val="Default"/>
    <w:rsid w:val="00676FBD"/>
    <w:pPr>
      <w:autoSpaceDE w:val="0"/>
      <w:autoSpaceDN w:val="0"/>
      <w:adjustRightInd w:val="0"/>
      <w:spacing w:after="0" w:line="240" w:lineRule="auto"/>
    </w:pPr>
    <w:rPr>
      <w:rFonts w:ascii="Garamond" w:eastAsia="Calibri" w:hAnsi="Garamond" w:cs="Garamond"/>
      <w:color w:val="000000"/>
      <w:sz w:val="24"/>
      <w:szCs w:val="24"/>
    </w:rPr>
  </w:style>
  <w:style w:type="table" w:styleId="Grillemoyenne3">
    <w:name w:val="Medium Grid 3"/>
    <w:aliases w:val="Tableau EEF generique doube entree 2"/>
    <w:basedOn w:val="TableauNormal"/>
    <w:uiPriority w:val="64"/>
    <w:rsid w:val="005C2C89"/>
    <w:pPr>
      <w:spacing w:after="0" w:line="240" w:lineRule="auto"/>
    </w:pPr>
    <w:rPr>
      <w:rFonts w:ascii="Calibri" w:eastAsia="MS Mincho" w:hAnsi="Calibri" w:cs="Times New Roman"/>
      <w:sz w:val="20"/>
      <w:szCs w:val="20"/>
      <w:lang w:eastAsia="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pPr>
        <w:jc w:val="center"/>
      </w:pPr>
      <w:rPr>
        <w:b/>
        <w:bCs/>
        <w:i w:val="0"/>
        <w:iCs w:val="0"/>
        <w:color w:val="FFFFFF" w:themeColor="background1"/>
      </w:rPr>
      <w:tblPr/>
      <w:tcPr>
        <w:shd w:val="clear" w:color="auto" w:fill="35738B"/>
        <w:vAlign w:val="center"/>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pPr>
        <w:jc w:val="left"/>
      </w:pPr>
      <w:rPr>
        <w:b/>
        <w:bCs/>
        <w:i w:val="0"/>
        <w:iCs w:val="0"/>
        <w:color w:val="FFFFFF" w:themeColor="background1"/>
      </w:rPr>
      <w:tblPr/>
      <w:tcPr>
        <w:shd w:val="clear" w:color="auto" w:fill="35738B"/>
        <w:vAlign w:val="center"/>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pPr>
        <w:jc w:val="left"/>
      </w:pPr>
      <w:tblPr/>
      <w:tcPr>
        <w:vAlign w:val="center"/>
      </w:tcPr>
    </w:tblStylePr>
    <w:tblStylePr w:type="band2Horz">
      <w:tblPr/>
      <w:tcPr>
        <w:shd w:val="clear" w:color="auto" w:fill="D9D9D9" w:themeFill="background1" w:themeFillShade="D9"/>
      </w:tcPr>
    </w:tblStylePr>
  </w:style>
  <w:style w:type="table" w:styleId="Tramemoyenne1-Accent5">
    <w:name w:val="Medium Shading 1 Accent 5"/>
    <w:basedOn w:val="TableauNormal"/>
    <w:uiPriority w:val="63"/>
    <w:rsid w:val="00676FB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hps">
    <w:name w:val="hps"/>
    <w:rsid w:val="00676FBD"/>
  </w:style>
  <w:style w:type="paragraph" w:styleId="PrformatHTML">
    <w:name w:val="HTML Preformatted"/>
    <w:basedOn w:val="Normal"/>
    <w:link w:val="PrformatHTMLCar"/>
    <w:uiPriority w:val="99"/>
    <w:unhideWhenUsed/>
    <w:rsid w:val="00676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Cs w:val="20"/>
      <w:lang w:val="it-IT" w:eastAsia="it-IT"/>
    </w:rPr>
  </w:style>
  <w:style w:type="character" w:customStyle="1" w:styleId="PrformatHTMLCar">
    <w:name w:val="Préformaté HTML Car"/>
    <w:basedOn w:val="Policepardfaut"/>
    <w:link w:val="PrformatHTML"/>
    <w:uiPriority w:val="99"/>
    <w:rsid w:val="00676FBD"/>
    <w:rPr>
      <w:rFonts w:ascii="Courier New" w:eastAsia="Times New Roman" w:hAnsi="Courier New" w:cs="Courier New"/>
      <w:sz w:val="20"/>
      <w:szCs w:val="20"/>
      <w:lang w:val="it-IT" w:eastAsia="it-IT"/>
    </w:rPr>
  </w:style>
  <w:style w:type="table" w:styleId="Grillecouleur-Accent6">
    <w:name w:val="Colorful Grid Accent 6"/>
    <w:basedOn w:val="TableauNormal"/>
    <w:uiPriority w:val="73"/>
    <w:rsid w:val="00D13A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couleur-Accent5">
    <w:name w:val="Colorful Grid Accent 5"/>
    <w:basedOn w:val="TableauNormal"/>
    <w:uiPriority w:val="73"/>
    <w:rsid w:val="005570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tyle2">
    <w:name w:val="Style2"/>
    <w:basedOn w:val="Grillecouleur-Accent6"/>
    <w:uiPriority w:val="99"/>
    <w:rsid w:val="005570D2"/>
    <w:tblPr/>
    <w:tcPr>
      <w:shd w:val="clear" w:color="auto" w:fill="FDE9D9" w:themeFill="accent6" w:themeFillTint="33"/>
    </w:tcPr>
    <w:tblStylePr w:type="firstRow">
      <w:rPr>
        <w:rFonts w:ascii="PT Serif" w:hAnsi="PT Serif"/>
        <w:b/>
        <w:bCs/>
        <w:color w:val="35738B"/>
      </w:rPr>
      <w:tblPr/>
      <w:tcPr>
        <w:shd w:val="clear" w:color="auto" w:fill="FFFFFF" w:themeFill="background1"/>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auEEFgnriquedoubleentre">
    <w:name w:val="Tableau EEF générique double entrée"/>
    <w:basedOn w:val="Grillecouleur"/>
    <w:uiPriority w:val="99"/>
    <w:rsid w:val="005570D2"/>
    <w:tblPr/>
    <w:tcPr>
      <w:shd w:val="clear" w:color="auto" w:fill="A8B9B9"/>
    </w:tcPr>
    <w:tblStylePr w:type="firstRow">
      <w:pPr>
        <w:jc w:val="center"/>
      </w:pPr>
      <w:rPr>
        <w:rFonts w:ascii="PT Serif" w:hAnsi="PT Serif"/>
        <w:b/>
        <w:bCs/>
        <w:color w:val="35738B"/>
        <w:sz w:val="28"/>
      </w:rPr>
      <w:tblPr/>
      <w:tcPr>
        <w:shd w:val="clear" w:color="auto" w:fill="FFFFFF" w:themeFill="background1"/>
      </w:tcPr>
    </w:tblStylePr>
    <w:tblStylePr w:type="lastRow">
      <w:rPr>
        <w:b/>
        <w:bCs/>
        <w:color w:val="000000" w:themeColor="text1"/>
      </w:rPr>
      <w:tblPr/>
      <w:tcPr>
        <w:shd w:val="clear" w:color="auto" w:fill="FBD4B4" w:themeFill="accent6" w:themeFillTint="66"/>
      </w:tcPr>
    </w:tblStylePr>
    <w:tblStylePr w:type="firstCol">
      <w:pPr>
        <w:jc w:val="left"/>
      </w:pPr>
      <w:rPr>
        <w:rFonts w:ascii="Century Gothic" w:hAnsi="Century Gothic"/>
        <w:b/>
        <w:color w:val="FFFFFF" w:themeColor="background1"/>
        <w:sz w:val="24"/>
      </w:rPr>
      <w:tblPr/>
      <w:tcPr>
        <w:shd w:val="clear" w:color="auto" w:fill="35738B"/>
        <w:vAlign w:val="center"/>
      </w:tcPr>
    </w:tblStylePr>
    <w:tblStylePr w:type="lastCol">
      <w:rPr>
        <w:color w:val="FFFFFF" w:themeColor="background1"/>
      </w:rPr>
      <w:tblPr/>
      <w:tcPr>
        <w:shd w:val="clear" w:color="auto" w:fill="35738B"/>
      </w:tcPr>
    </w:tblStylePr>
    <w:tblStylePr w:type="band1Vert">
      <w:tblPr/>
      <w:tcPr>
        <w:shd w:val="clear" w:color="auto" w:fill="FBCAA2" w:themeFill="accent6" w:themeFillTint="7F"/>
      </w:tcPr>
    </w:tblStylePr>
    <w:tblStylePr w:type="band1Horz">
      <w:pPr>
        <w:jc w:val="left"/>
      </w:pPr>
      <w:rPr>
        <w:rFonts w:asciiTheme="minorHAnsi" w:hAnsiTheme="minorHAnsi"/>
        <w:sz w:val="20"/>
      </w:rPr>
      <w:tblPr/>
      <w:tcPr>
        <w:shd w:val="clear" w:color="auto" w:fill="F2F2F2" w:themeFill="background1" w:themeFillShade="F2"/>
      </w:tcPr>
    </w:tblStylePr>
    <w:tblStylePr w:type="band2Horz">
      <w:rPr>
        <w:rFonts w:asciiTheme="minorHAnsi" w:hAnsiTheme="minorHAnsi"/>
        <w:b/>
        <w:color w:val="FFFFFF" w:themeColor="background1"/>
        <w:sz w:val="20"/>
      </w:rPr>
      <w:tblPr/>
      <w:tcPr>
        <w:shd w:val="clear" w:color="auto" w:fill="35738B"/>
      </w:tcPr>
    </w:tblStylePr>
  </w:style>
  <w:style w:type="table" w:styleId="Tramemoyenne1-Accent2">
    <w:name w:val="Medium Shading 1 Accent 2"/>
    <w:basedOn w:val="TableauNormal"/>
    <w:uiPriority w:val="63"/>
    <w:rsid w:val="00C76F8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TM1">
    <w:name w:val="toc 1"/>
    <w:basedOn w:val="Normal"/>
    <w:next w:val="Normal"/>
    <w:autoRedefine/>
    <w:uiPriority w:val="39"/>
    <w:unhideWhenUsed/>
    <w:rsid w:val="00BB4094"/>
    <w:pPr>
      <w:spacing w:after="100"/>
    </w:pPr>
  </w:style>
  <w:style w:type="paragraph" w:styleId="TM2">
    <w:name w:val="toc 2"/>
    <w:basedOn w:val="Normal"/>
    <w:next w:val="Normal"/>
    <w:autoRedefine/>
    <w:uiPriority w:val="39"/>
    <w:unhideWhenUsed/>
    <w:rsid w:val="00BB4094"/>
    <w:pPr>
      <w:spacing w:after="100"/>
      <w:ind w:left="200"/>
    </w:pPr>
  </w:style>
  <w:style w:type="character" w:customStyle="1" w:styleId="Titre3Car">
    <w:name w:val="Titre 3 Car"/>
    <w:basedOn w:val="Policepardfaut"/>
    <w:link w:val="Titre3"/>
    <w:uiPriority w:val="9"/>
    <w:rsid w:val="002A4D8A"/>
    <w:rPr>
      <w:rFonts w:ascii="PT Serif" w:eastAsiaTheme="majorEastAsia" w:hAnsi="PT Serif" w:cstheme="majorBidi"/>
      <w:b/>
      <w:bCs/>
      <w:color w:val="35738B"/>
    </w:rPr>
  </w:style>
  <w:style w:type="character" w:styleId="Marquedecommentaire">
    <w:name w:val="annotation reference"/>
    <w:basedOn w:val="Policepardfaut"/>
    <w:semiHidden/>
    <w:unhideWhenUsed/>
    <w:rsid w:val="002A50EC"/>
    <w:rPr>
      <w:sz w:val="16"/>
      <w:szCs w:val="16"/>
    </w:rPr>
  </w:style>
  <w:style w:type="paragraph" w:styleId="Commentaire">
    <w:name w:val="annotation text"/>
    <w:basedOn w:val="Normal"/>
    <w:link w:val="CommentaireCar"/>
    <w:uiPriority w:val="99"/>
    <w:unhideWhenUsed/>
    <w:rsid w:val="002A50EC"/>
    <w:pPr>
      <w:spacing w:after="200" w:line="240" w:lineRule="auto"/>
      <w:jc w:val="left"/>
    </w:pPr>
    <w:rPr>
      <w:szCs w:val="20"/>
    </w:rPr>
  </w:style>
  <w:style w:type="character" w:customStyle="1" w:styleId="CommentaireCar">
    <w:name w:val="Commentaire Car"/>
    <w:basedOn w:val="Policepardfaut"/>
    <w:link w:val="Commentaire"/>
    <w:uiPriority w:val="99"/>
    <w:rsid w:val="002A50EC"/>
    <w:rPr>
      <w:sz w:val="20"/>
      <w:szCs w:val="20"/>
    </w:rPr>
  </w:style>
  <w:style w:type="paragraph" w:customStyle="1" w:styleId="Normal1">
    <w:name w:val="Normal1"/>
    <w:basedOn w:val="Normal"/>
    <w:rsid w:val="0023003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CC0466"/>
    <w:pPr>
      <w:spacing w:after="0"/>
      <w:jc w:val="both"/>
    </w:pPr>
    <w:rPr>
      <w:b/>
      <w:bCs/>
    </w:rPr>
  </w:style>
  <w:style w:type="character" w:customStyle="1" w:styleId="ObjetducommentaireCar">
    <w:name w:val="Objet du commentaire Car"/>
    <w:basedOn w:val="CommentaireCar"/>
    <w:link w:val="Objetducommentaire"/>
    <w:uiPriority w:val="99"/>
    <w:semiHidden/>
    <w:rsid w:val="00CC0466"/>
    <w:rPr>
      <w:b/>
      <w:bCs/>
      <w:sz w:val="20"/>
      <w:szCs w:val="20"/>
    </w:rPr>
  </w:style>
  <w:style w:type="table" w:styleId="Listeclaire-Accent2">
    <w:name w:val="Light List Accent 2"/>
    <w:basedOn w:val="TableauNormal"/>
    <w:uiPriority w:val="61"/>
    <w:rsid w:val="009138A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rameclaire-Accent2">
    <w:name w:val="Light Shading Accent 2"/>
    <w:basedOn w:val="TableauNormal"/>
    <w:uiPriority w:val="60"/>
    <w:rsid w:val="006473D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5">
    <w:name w:val="Light Shading Accent 5"/>
    <w:basedOn w:val="TableauNormal"/>
    <w:uiPriority w:val="60"/>
    <w:rsid w:val="006473D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claire-Accent5">
    <w:name w:val="Light List Accent 5"/>
    <w:basedOn w:val="TableauNormal"/>
    <w:uiPriority w:val="61"/>
    <w:rsid w:val="006473D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3B263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gende">
    <w:name w:val="caption"/>
    <w:basedOn w:val="Normal"/>
    <w:next w:val="Normal"/>
    <w:uiPriority w:val="35"/>
    <w:unhideWhenUsed/>
    <w:qFormat/>
    <w:rsid w:val="00B914AB"/>
    <w:pPr>
      <w:spacing w:after="200" w:line="240" w:lineRule="auto"/>
    </w:pPr>
    <w:rPr>
      <w:b/>
      <w:bCs/>
      <w:color w:val="4F81BD" w:themeColor="accent1"/>
      <w:sz w:val="18"/>
      <w:szCs w:val="18"/>
    </w:rPr>
  </w:style>
  <w:style w:type="table" w:styleId="Tramecouleur">
    <w:name w:val="Colorful Shading"/>
    <w:basedOn w:val="TableauNormal"/>
    <w:uiPriority w:val="71"/>
    <w:rsid w:val="004A448B"/>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4A448B"/>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ramemoyenne2-Accent1">
    <w:name w:val="Medium Shading 2 Accent 1"/>
    <w:basedOn w:val="TableauNormal"/>
    <w:uiPriority w:val="64"/>
    <w:rsid w:val="004A44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Lienhypertextesuivivisit">
    <w:name w:val="FollowedHyperlink"/>
    <w:basedOn w:val="Policepardfaut"/>
    <w:uiPriority w:val="99"/>
    <w:semiHidden/>
    <w:unhideWhenUsed/>
    <w:rsid w:val="00F53F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20384">
      <w:bodyDiv w:val="1"/>
      <w:marLeft w:val="0"/>
      <w:marRight w:val="0"/>
      <w:marTop w:val="0"/>
      <w:marBottom w:val="0"/>
      <w:divBdr>
        <w:top w:val="none" w:sz="0" w:space="0" w:color="auto"/>
        <w:left w:val="none" w:sz="0" w:space="0" w:color="auto"/>
        <w:bottom w:val="none" w:sz="0" w:space="0" w:color="auto"/>
        <w:right w:val="none" w:sz="0" w:space="0" w:color="auto"/>
      </w:divBdr>
      <w:divsChild>
        <w:div w:id="1254822131">
          <w:marLeft w:val="0"/>
          <w:marRight w:val="0"/>
          <w:marTop w:val="0"/>
          <w:marBottom w:val="0"/>
          <w:divBdr>
            <w:top w:val="none" w:sz="0" w:space="0" w:color="auto"/>
            <w:left w:val="none" w:sz="0" w:space="0" w:color="auto"/>
            <w:bottom w:val="none" w:sz="0" w:space="0" w:color="auto"/>
            <w:right w:val="none" w:sz="0" w:space="0" w:color="auto"/>
          </w:divBdr>
        </w:div>
        <w:div w:id="964433014">
          <w:marLeft w:val="0"/>
          <w:marRight w:val="0"/>
          <w:marTop w:val="0"/>
          <w:marBottom w:val="0"/>
          <w:divBdr>
            <w:top w:val="none" w:sz="0" w:space="0" w:color="auto"/>
            <w:left w:val="none" w:sz="0" w:space="0" w:color="auto"/>
            <w:bottom w:val="none" w:sz="0" w:space="0" w:color="auto"/>
            <w:right w:val="none" w:sz="0" w:space="0" w:color="auto"/>
          </w:divBdr>
        </w:div>
        <w:div w:id="1979725624">
          <w:marLeft w:val="0"/>
          <w:marRight w:val="0"/>
          <w:marTop w:val="0"/>
          <w:marBottom w:val="0"/>
          <w:divBdr>
            <w:top w:val="none" w:sz="0" w:space="0" w:color="auto"/>
            <w:left w:val="none" w:sz="0" w:space="0" w:color="auto"/>
            <w:bottom w:val="none" w:sz="0" w:space="0" w:color="auto"/>
            <w:right w:val="none" w:sz="0" w:space="0" w:color="auto"/>
          </w:divBdr>
        </w:div>
        <w:div w:id="1947343394">
          <w:marLeft w:val="0"/>
          <w:marRight w:val="0"/>
          <w:marTop w:val="0"/>
          <w:marBottom w:val="0"/>
          <w:divBdr>
            <w:top w:val="none" w:sz="0" w:space="0" w:color="auto"/>
            <w:left w:val="none" w:sz="0" w:space="0" w:color="auto"/>
            <w:bottom w:val="none" w:sz="0" w:space="0" w:color="auto"/>
            <w:right w:val="none" w:sz="0" w:space="0" w:color="auto"/>
          </w:divBdr>
        </w:div>
        <w:div w:id="418455140">
          <w:marLeft w:val="0"/>
          <w:marRight w:val="0"/>
          <w:marTop w:val="0"/>
          <w:marBottom w:val="0"/>
          <w:divBdr>
            <w:top w:val="none" w:sz="0" w:space="0" w:color="auto"/>
            <w:left w:val="none" w:sz="0" w:space="0" w:color="auto"/>
            <w:bottom w:val="none" w:sz="0" w:space="0" w:color="auto"/>
            <w:right w:val="none" w:sz="0" w:space="0" w:color="auto"/>
          </w:divBdr>
        </w:div>
        <w:div w:id="1767456150">
          <w:marLeft w:val="0"/>
          <w:marRight w:val="0"/>
          <w:marTop w:val="0"/>
          <w:marBottom w:val="0"/>
          <w:divBdr>
            <w:top w:val="none" w:sz="0" w:space="0" w:color="auto"/>
            <w:left w:val="none" w:sz="0" w:space="0" w:color="auto"/>
            <w:bottom w:val="none" w:sz="0" w:space="0" w:color="auto"/>
            <w:right w:val="none" w:sz="0" w:space="0" w:color="auto"/>
          </w:divBdr>
        </w:div>
        <w:div w:id="729499073">
          <w:marLeft w:val="0"/>
          <w:marRight w:val="0"/>
          <w:marTop w:val="0"/>
          <w:marBottom w:val="0"/>
          <w:divBdr>
            <w:top w:val="none" w:sz="0" w:space="0" w:color="auto"/>
            <w:left w:val="none" w:sz="0" w:space="0" w:color="auto"/>
            <w:bottom w:val="none" w:sz="0" w:space="0" w:color="auto"/>
            <w:right w:val="none" w:sz="0" w:space="0" w:color="auto"/>
          </w:divBdr>
        </w:div>
      </w:divsChild>
    </w:div>
    <w:div w:id="448353806">
      <w:bodyDiv w:val="1"/>
      <w:marLeft w:val="0"/>
      <w:marRight w:val="0"/>
      <w:marTop w:val="0"/>
      <w:marBottom w:val="0"/>
      <w:divBdr>
        <w:top w:val="none" w:sz="0" w:space="0" w:color="auto"/>
        <w:left w:val="none" w:sz="0" w:space="0" w:color="auto"/>
        <w:bottom w:val="none" w:sz="0" w:space="0" w:color="auto"/>
        <w:right w:val="none" w:sz="0" w:space="0" w:color="auto"/>
      </w:divBdr>
      <w:divsChild>
        <w:div w:id="48775237">
          <w:marLeft w:val="0"/>
          <w:marRight w:val="0"/>
          <w:marTop w:val="0"/>
          <w:marBottom w:val="0"/>
          <w:divBdr>
            <w:top w:val="none" w:sz="0" w:space="0" w:color="auto"/>
            <w:left w:val="none" w:sz="0" w:space="0" w:color="auto"/>
            <w:bottom w:val="none" w:sz="0" w:space="0" w:color="auto"/>
            <w:right w:val="none" w:sz="0" w:space="0" w:color="auto"/>
          </w:divBdr>
        </w:div>
        <w:div w:id="1128670213">
          <w:marLeft w:val="0"/>
          <w:marRight w:val="0"/>
          <w:marTop w:val="0"/>
          <w:marBottom w:val="0"/>
          <w:divBdr>
            <w:top w:val="none" w:sz="0" w:space="0" w:color="auto"/>
            <w:left w:val="none" w:sz="0" w:space="0" w:color="auto"/>
            <w:bottom w:val="none" w:sz="0" w:space="0" w:color="auto"/>
            <w:right w:val="none" w:sz="0" w:space="0" w:color="auto"/>
          </w:divBdr>
        </w:div>
        <w:div w:id="1629970159">
          <w:marLeft w:val="0"/>
          <w:marRight w:val="0"/>
          <w:marTop w:val="0"/>
          <w:marBottom w:val="0"/>
          <w:divBdr>
            <w:top w:val="none" w:sz="0" w:space="0" w:color="auto"/>
            <w:left w:val="none" w:sz="0" w:space="0" w:color="auto"/>
            <w:bottom w:val="none" w:sz="0" w:space="0" w:color="auto"/>
            <w:right w:val="none" w:sz="0" w:space="0" w:color="auto"/>
          </w:divBdr>
        </w:div>
      </w:divsChild>
    </w:div>
    <w:div w:id="536627517">
      <w:bodyDiv w:val="1"/>
      <w:marLeft w:val="0"/>
      <w:marRight w:val="0"/>
      <w:marTop w:val="0"/>
      <w:marBottom w:val="0"/>
      <w:divBdr>
        <w:top w:val="none" w:sz="0" w:space="0" w:color="auto"/>
        <w:left w:val="none" w:sz="0" w:space="0" w:color="auto"/>
        <w:bottom w:val="none" w:sz="0" w:space="0" w:color="auto"/>
        <w:right w:val="none" w:sz="0" w:space="0" w:color="auto"/>
      </w:divBdr>
    </w:div>
    <w:div w:id="585579946">
      <w:bodyDiv w:val="1"/>
      <w:marLeft w:val="0"/>
      <w:marRight w:val="0"/>
      <w:marTop w:val="0"/>
      <w:marBottom w:val="0"/>
      <w:divBdr>
        <w:top w:val="none" w:sz="0" w:space="0" w:color="auto"/>
        <w:left w:val="none" w:sz="0" w:space="0" w:color="auto"/>
        <w:bottom w:val="none" w:sz="0" w:space="0" w:color="auto"/>
        <w:right w:val="none" w:sz="0" w:space="0" w:color="auto"/>
      </w:divBdr>
    </w:div>
    <w:div w:id="629822643">
      <w:bodyDiv w:val="1"/>
      <w:marLeft w:val="0"/>
      <w:marRight w:val="0"/>
      <w:marTop w:val="0"/>
      <w:marBottom w:val="0"/>
      <w:divBdr>
        <w:top w:val="none" w:sz="0" w:space="0" w:color="auto"/>
        <w:left w:val="none" w:sz="0" w:space="0" w:color="auto"/>
        <w:bottom w:val="none" w:sz="0" w:space="0" w:color="auto"/>
        <w:right w:val="none" w:sz="0" w:space="0" w:color="auto"/>
      </w:divBdr>
    </w:div>
    <w:div w:id="659652169">
      <w:bodyDiv w:val="1"/>
      <w:marLeft w:val="0"/>
      <w:marRight w:val="0"/>
      <w:marTop w:val="0"/>
      <w:marBottom w:val="0"/>
      <w:divBdr>
        <w:top w:val="none" w:sz="0" w:space="0" w:color="auto"/>
        <w:left w:val="none" w:sz="0" w:space="0" w:color="auto"/>
        <w:bottom w:val="none" w:sz="0" w:space="0" w:color="auto"/>
        <w:right w:val="none" w:sz="0" w:space="0" w:color="auto"/>
      </w:divBdr>
      <w:divsChild>
        <w:div w:id="366419979">
          <w:marLeft w:val="0"/>
          <w:marRight w:val="0"/>
          <w:marTop w:val="0"/>
          <w:marBottom w:val="0"/>
          <w:divBdr>
            <w:top w:val="none" w:sz="0" w:space="0" w:color="auto"/>
            <w:left w:val="none" w:sz="0" w:space="0" w:color="auto"/>
            <w:bottom w:val="none" w:sz="0" w:space="0" w:color="auto"/>
            <w:right w:val="none" w:sz="0" w:space="0" w:color="auto"/>
          </w:divBdr>
        </w:div>
        <w:div w:id="1297644372">
          <w:marLeft w:val="0"/>
          <w:marRight w:val="0"/>
          <w:marTop w:val="0"/>
          <w:marBottom w:val="0"/>
          <w:divBdr>
            <w:top w:val="none" w:sz="0" w:space="0" w:color="auto"/>
            <w:left w:val="none" w:sz="0" w:space="0" w:color="auto"/>
            <w:bottom w:val="none" w:sz="0" w:space="0" w:color="auto"/>
            <w:right w:val="none" w:sz="0" w:space="0" w:color="auto"/>
          </w:divBdr>
        </w:div>
        <w:div w:id="1729377134">
          <w:marLeft w:val="0"/>
          <w:marRight w:val="0"/>
          <w:marTop w:val="0"/>
          <w:marBottom w:val="0"/>
          <w:divBdr>
            <w:top w:val="none" w:sz="0" w:space="0" w:color="auto"/>
            <w:left w:val="none" w:sz="0" w:space="0" w:color="auto"/>
            <w:bottom w:val="none" w:sz="0" w:space="0" w:color="auto"/>
            <w:right w:val="none" w:sz="0" w:space="0" w:color="auto"/>
          </w:divBdr>
        </w:div>
        <w:div w:id="618685459">
          <w:marLeft w:val="0"/>
          <w:marRight w:val="0"/>
          <w:marTop w:val="0"/>
          <w:marBottom w:val="0"/>
          <w:divBdr>
            <w:top w:val="none" w:sz="0" w:space="0" w:color="auto"/>
            <w:left w:val="none" w:sz="0" w:space="0" w:color="auto"/>
            <w:bottom w:val="none" w:sz="0" w:space="0" w:color="auto"/>
            <w:right w:val="none" w:sz="0" w:space="0" w:color="auto"/>
          </w:divBdr>
        </w:div>
        <w:div w:id="1245914897">
          <w:marLeft w:val="0"/>
          <w:marRight w:val="0"/>
          <w:marTop w:val="0"/>
          <w:marBottom w:val="0"/>
          <w:divBdr>
            <w:top w:val="none" w:sz="0" w:space="0" w:color="auto"/>
            <w:left w:val="none" w:sz="0" w:space="0" w:color="auto"/>
            <w:bottom w:val="none" w:sz="0" w:space="0" w:color="auto"/>
            <w:right w:val="none" w:sz="0" w:space="0" w:color="auto"/>
          </w:divBdr>
        </w:div>
        <w:div w:id="1057434720">
          <w:marLeft w:val="0"/>
          <w:marRight w:val="0"/>
          <w:marTop w:val="0"/>
          <w:marBottom w:val="0"/>
          <w:divBdr>
            <w:top w:val="none" w:sz="0" w:space="0" w:color="auto"/>
            <w:left w:val="none" w:sz="0" w:space="0" w:color="auto"/>
            <w:bottom w:val="none" w:sz="0" w:space="0" w:color="auto"/>
            <w:right w:val="none" w:sz="0" w:space="0" w:color="auto"/>
          </w:divBdr>
        </w:div>
        <w:div w:id="1714114108">
          <w:marLeft w:val="0"/>
          <w:marRight w:val="0"/>
          <w:marTop w:val="0"/>
          <w:marBottom w:val="0"/>
          <w:divBdr>
            <w:top w:val="none" w:sz="0" w:space="0" w:color="auto"/>
            <w:left w:val="none" w:sz="0" w:space="0" w:color="auto"/>
            <w:bottom w:val="none" w:sz="0" w:space="0" w:color="auto"/>
            <w:right w:val="none" w:sz="0" w:space="0" w:color="auto"/>
          </w:divBdr>
        </w:div>
        <w:div w:id="2022076313">
          <w:marLeft w:val="0"/>
          <w:marRight w:val="0"/>
          <w:marTop w:val="0"/>
          <w:marBottom w:val="0"/>
          <w:divBdr>
            <w:top w:val="none" w:sz="0" w:space="0" w:color="auto"/>
            <w:left w:val="none" w:sz="0" w:space="0" w:color="auto"/>
            <w:bottom w:val="none" w:sz="0" w:space="0" w:color="auto"/>
            <w:right w:val="none" w:sz="0" w:space="0" w:color="auto"/>
          </w:divBdr>
        </w:div>
        <w:div w:id="1636257810">
          <w:marLeft w:val="0"/>
          <w:marRight w:val="0"/>
          <w:marTop w:val="0"/>
          <w:marBottom w:val="0"/>
          <w:divBdr>
            <w:top w:val="none" w:sz="0" w:space="0" w:color="auto"/>
            <w:left w:val="none" w:sz="0" w:space="0" w:color="auto"/>
            <w:bottom w:val="none" w:sz="0" w:space="0" w:color="auto"/>
            <w:right w:val="none" w:sz="0" w:space="0" w:color="auto"/>
          </w:divBdr>
        </w:div>
        <w:div w:id="1951623879">
          <w:marLeft w:val="0"/>
          <w:marRight w:val="0"/>
          <w:marTop w:val="0"/>
          <w:marBottom w:val="0"/>
          <w:divBdr>
            <w:top w:val="none" w:sz="0" w:space="0" w:color="auto"/>
            <w:left w:val="none" w:sz="0" w:space="0" w:color="auto"/>
            <w:bottom w:val="none" w:sz="0" w:space="0" w:color="auto"/>
            <w:right w:val="none" w:sz="0" w:space="0" w:color="auto"/>
          </w:divBdr>
        </w:div>
        <w:div w:id="1877572732">
          <w:marLeft w:val="0"/>
          <w:marRight w:val="0"/>
          <w:marTop w:val="0"/>
          <w:marBottom w:val="0"/>
          <w:divBdr>
            <w:top w:val="none" w:sz="0" w:space="0" w:color="auto"/>
            <w:left w:val="none" w:sz="0" w:space="0" w:color="auto"/>
            <w:bottom w:val="none" w:sz="0" w:space="0" w:color="auto"/>
            <w:right w:val="none" w:sz="0" w:space="0" w:color="auto"/>
          </w:divBdr>
        </w:div>
        <w:div w:id="1480344032">
          <w:marLeft w:val="0"/>
          <w:marRight w:val="0"/>
          <w:marTop w:val="0"/>
          <w:marBottom w:val="0"/>
          <w:divBdr>
            <w:top w:val="none" w:sz="0" w:space="0" w:color="auto"/>
            <w:left w:val="none" w:sz="0" w:space="0" w:color="auto"/>
            <w:bottom w:val="none" w:sz="0" w:space="0" w:color="auto"/>
            <w:right w:val="none" w:sz="0" w:space="0" w:color="auto"/>
          </w:divBdr>
        </w:div>
        <w:div w:id="1272471626">
          <w:marLeft w:val="0"/>
          <w:marRight w:val="0"/>
          <w:marTop w:val="0"/>
          <w:marBottom w:val="0"/>
          <w:divBdr>
            <w:top w:val="none" w:sz="0" w:space="0" w:color="auto"/>
            <w:left w:val="none" w:sz="0" w:space="0" w:color="auto"/>
            <w:bottom w:val="none" w:sz="0" w:space="0" w:color="auto"/>
            <w:right w:val="none" w:sz="0" w:space="0" w:color="auto"/>
          </w:divBdr>
        </w:div>
      </w:divsChild>
    </w:div>
    <w:div w:id="988745836">
      <w:bodyDiv w:val="1"/>
      <w:marLeft w:val="0"/>
      <w:marRight w:val="0"/>
      <w:marTop w:val="0"/>
      <w:marBottom w:val="0"/>
      <w:divBdr>
        <w:top w:val="none" w:sz="0" w:space="0" w:color="auto"/>
        <w:left w:val="none" w:sz="0" w:space="0" w:color="auto"/>
        <w:bottom w:val="none" w:sz="0" w:space="0" w:color="auto"/>
        <w:right w:val="none" w:sz="0" w:space="0" w:color="auto"/>
      </w:divBdr>
      <w:divsChild>
        <w:div w:id="572156765">
          <w:marLeft w:val="0"/>
          <w:marRight w:val="0"/>
          <w:marTop w:val="0"/>
          <w:marBottom w:val="0"/>
          <w:divBdr>
            <w:top w:val="none" w:sz="0" w:space="0" w:color="auto"/>
            <w:left w:val="none" w:sz="0" w:space="0" w:color="auto"/>
            <w:bottom w:val="none" w:sz="0" w:space="0" w:color="auto"/>
            <w:right w:val="none" w:sz="0" w:space="0" w:color="auto"/>
          </w:divBdr>
        </w:div>
        <w:div w:id="2051222818">
          <w:marLeft w:val="0"/>
          <w:marRight w:val="0"/>
          <w:marTop w:val="0"/>
          <w:marBottom w:val="0"/>
          <w:divBdr>
            <w:top w:val="none" w:sz="0" w:space="0" w:color="auto"/>
            <w:left w:val="none" w:sz="0" w:space="0" w:color="auto"/>
            <w:bottom w:val="none" w:sz="0" w:space="0" w:color="auto"/>
            <w:right w:val="none" w:sz="0" w:space="0" w:color="auto"/>
          </w:divBdr>
        </w:div>
        <w:div w:id="134030786">
          <w:marLeft w:val="0"/>
          <w:marRight w:val="0"/>
          <w:marTop w:val="0"/>
          <w:marBottom w:val="0"/>
          <w:divBdr>
            <w:top w:val="none" w:sz="0" w:space="0" w:color="auto"/>
            <w:left w:val="none" w:sz="0" w:space="0" w:color="auto"/>
            <w:bottom w:val="none" w:sz="0" w:space="0" w:color="auto"/>
            <w:right w:val="none" w:sz="0" w:space="0" w:color="auto"/>
          </w:divBdr>
        </w:div>
        <w:div w:id="194852251">
          <w:marLeft w:val="0"/>
          <w:marRight w:val="0"/>
          <w:marTop w:val="0"/>
          <w:marBottom w:val="0"/>
          <w:divBdr>
            <w:top w:val="none" w:sz="0" w:space="0" w:color="auto"/>
            <w:left w:val="none" w:sz="0" w:space="0" w:color="auto"/>
            <w:bottom w:val="none" w:sz="0" w:space="0" w:color="auto"/>
            <w:right w:val="none" w:sz="0" w:space="0" w:color="auto"/>
          </w:divBdr>
        </w:div>
        <w:div w:id="509638170">
          <w:marLeft w:val="0"/>
          <w:marRight w:val="0"/>
          <w:marTop w:val="0"/>
          <w:marBottom w:val="0"/>
          <w:divBdr>
            <w:top w:val="none" w:sz="0" w:space="0" w:color="auto"/>
            <w:left w:val="none" w:sz="0" w:space="0" w:color="auto"/>
            <w:bottom w:val="none" w:sz="0" w:space="0" w:color="auto"/>
            <w:right w:val="none" w:sz="0" w:space="0" w:color="auto"/>
          </w:divBdr>
        </w:div>
        <w:div w:id="1619291352">
          <w:marLeft w:val="0"/>
          <w:marRight w:val="0"/>
          <w:marTop w:val="0"/>
          <w:marBottom w:val="0"/>
          <w:divBdr>
            <w:top w:val="none" w:sz="0" w:space="0" w:color="auto"/>
            <w:left w:val="none" w:sz="0" w:space="0" w:color="auto"/>
            <w:bottom w:val="none" w:sz="0" w:space="0" w:color="auto"/>
            <w:right w:val="none" w:sz="0" w:space="0" w:color="auto"/>
          </w:divBdr>
        </w:div>
      </w:divsChild>
    </w:div>
    <w:div w:id="1025710106">
      <w:bodyDiv w:val="1"/>
      <w:marLeft w:val="0"/>
      <w:marRight w:val="0"/>
      <w:marTop w:val="0"/>
      <w:marBottom w:val="0"/>
      <w:divBdr>
        <w:top w:val="none" w:sz="0" w:space="0" w:color="auto"/>
        <w:left w:val="none" w:sz="0" w:space="0" w:color="auto"/>
        <w:bottom w:val="none" w:sz="0" w:space="0" w:color="auto"/>
        <w:right w:val="none" w:sz="0" w:space="0" w:color="auto"/>
      </w:divBdr>
    </w:div>
    <w:div w:id="1243291448">
      <w:bodyDiv w:val="1"/>
      <w:marLeft w:val="0"/>
      <w:marRight w:val="0"/>
      <w:marTop w:val="0"/>
      <w:marBottom w:val="0"/>
      <w:divBdr>
        <w:top w:val="none" w:sz="0" w:space="0" w:color="auto"/>
        <w:left w:val="none" w:sz="0" w:space="0" w:color="auto"/>
        <w:bottom w:val="none" w:sz="0" w:space="0" w:color="auto"/>
        <w:right w:val="none" w:sz="0" w:space="0" w:color="auto"/>
      </w:divBdr>
    </w:div>
    <w:div w:id="1247495292">
      <w:bodyDiv w:val="1"/>
      <w:marLeft w:val="0"/>
      <w:marRight w:val="0"/>
      <w:marTop w:val="0"/>
      <w:marBottom w:val="0"/>
      <w:divBdr>
        <w:top w:val="none" w:sz="0" w:space="0" w:color="auto"/>
        <w:left w:val="none" w:sz="0" w:space="0" w:color="auto"/>
        <w:bottom w:val="none" w:sz="0" w:space="0" w:color="auto"/>
        <w:right w:val="none" w:sz="0" w:space="0" w:color="auto"/>
      </w:divBdr>
    </w:div>
    <w:div w:id="1385829241">
      <w:bodyDiv w:val="1"/>
      <w:marLeft w:val="0"/>
      <w:marRight w:val="0"/>
      <w:marTop w:val="0"/>
      <w:marBottom w:val="0"/>
      <w:divBdr>
        <w:top w:val="none" w:sz="0" w:space="0" w:color="auto"/>
        <w:left w:val="none" w:sz="0" w:space="0" w:color="auto"/>
        <w:bottom w:val="none" w:sz="0" w:space="0" w:color="auto"/>
        <w:right w:val="none" w:sz="0" w:space="0" w:color="auto"/>
      </w:divBdr>
    </w:div>
    <w:div w:id="1386026102">
      <w:bodyDiv w:val="1"/>
      <w:marLeft w:val="0"/>
      <w:marRight w:val="0"/>
      <w:marTop w:val="0"/>
      <w:marBottom w:val="0"/>
      <w:divBdr>
        <w:top w:val="none" w:sz="0" w:space="0" w:color="auto"/>
        <w:left w:val="none" w:sz="0" w:space="0" w:color="auto"/>
        <w:bottom w:val="none" w:sz="0" w:space="0" w:color="auto"/>
        <w:right w:val="none" w:sz="0" w:space="0" w:color="auto"/>
      </w:divBdr>
    </w:div>
    <w:div w:id="1460732141">
      <w:bodyDiv w:val="1"/>
      <w:marLeft w:val="0"/>
      <w:marRight w:val="0"/>
      <w:marTop w:val="0"/>
      <w:marBottom w:val="0"/>
      <w:divBdr>
        <w:top w:val="none" w:sz="0" w:space="0" w:color="auto"/>
        <w:left w:val="none" w:sz="0" w:space="0" w:color="auto"/>
        <w:bottom w:val="none" w:sz="0" w:space="0" w:color="auto"/>
        <w:right w:val="none" w:sz="0" w:space="0" w:color="auto"/>
      </w:divBdr>
    </w:div>
    <w:div w:id="1767194784">
      <w:bodyDiv w:val="1"/>
      <w:marLeft w:val="0"/>
      <w:marRight w:val="0"/>
      <w:marTop w:val="0"/>
      <w:marBottom w:val="0"/>
      <w:divBdr>
        <w:top w:val="none" w:sz="0" w:space="0" w:color="auto"/>
        <w:left w:val="none" w:sz="0" w:space="0" w:color="auto"/>
        <w:bottom w:val="none" w:sz="0" w:space="0" w:color="auto"/>
        <w:right w:val="none" w:sz="0" w:space="0" w:color="auto"/>
      </w:divBdr>
      <w:divsChild>
        <w:div w:id="401946014">
          <w:marLeft w:val="0"/>
          <w:marRight w:val="0"/>
          <w:marTop w:val="0"/>
          <w:marBottom w:val="0"/>
          <w:divBdr>
            <w:top w:val="none" w:sz="0" w:space="0" w:color="auto"/>
            <w:left w:val="none" w:sz="0" w:space="0" w:color="auto"/>
            <w:bottom w:val="none" w:sz="0" w:space="0" w:color="auto"/>
            <w:right w:val="none" w:sz="0" w:space="0" w:color="auto"/>
          </w:divBdr>
        </w:div>
        <w:div w:id="1939481745">
          <w:marLeft w:val="0"/>
          <w:marRight w:val="0"/>
          <w:marTop w:val="0"/>
          <w:marBottom w:val="0"/>
          <w:divBdr>
            <w:top w:val="none" w:sz="0" w:space="0" w:color="auto"/>
            <w:left w:val="none" w:sz="0" w:space="0" w:color="auto"/>
            <w:bottom w:val="none" w:sz="0" w:space="0" w:color="auto"/>
            <w:right w:val="none" w:sz="0" w:space="0" w:color="auto"/>
          </w:divBdr>
        </w:div>
        <w:div w:id="1538473330">
          <w:marLeft w:val="0"/>
          <w:marRight w:val="0"/>
          <w:marTop w:val="0"/>
          <w:marBottom w:val="0"/>
          <w:divBdr>
            <w:top w:val="none" w:sz="0" w:space="0" w:color="auto"/>
            <w:left w:val="none" w:sz="0" w:space="0" w:color="auto"/>
            <w:bottom w:val="none" w:sz="0" w:space="0" w:color="auto"/>
            <w:right w:val="none" w:sz="0" w:space="0" w:color="auto"/>
          </w:divBdr>
        </w:div>
        <w:div w:id="1511261751">
          <w:marLeft w:val="0"/>
          <w:marRight w:val="0"/>
          <w:marTop w:val="0"/>
          <w:marBottom w:val="0"/>
          <w:divBdr>
            <w:top w:val="none" w:sz="0" w:space="0" w:color="auto"/>
            <w:left w:val="none" w:sz="0" w:space="0" w:color="auto"/>
            <w:bottom w:val="none" w:sz="0" w:space="0" w:color="auto"/>
            <w:right w:val="none" w:sz="0" w:space="0" w:color="auto"/>
          </w:divBdr>
        </w:div>
        <w:div w:id="135147239">
          <w:marLeft w:val="0"/>
          <w:marRight w:val="0"/>
          <w:marTop w:val="0"/>
          <w:marBottom w:val="0"/>
          <w:divBdr>
            <w:top w:val="none" w:sz="0" w:space="0" w:color="auto"/>
            <w:left w:val="none" w:sz="0" w:space="0" w:color="auto"/>
            <w:bottom w:val="none" w:sz="0" w:space="0" w:color="auto"/>
            <w:right w:val="none" w:sz="0" w:space="0" w:color="auto"/>
          </w:divBdr>
        </w:div>
        <w:div w:id="2059744952">
          <w:marLeft w:val="0"/>
          <w:marRight w:val="0"/>
          <w:marTop w:val="0"/>
          <w:marBottom w:val="0"/>
          <w:divBdr>
            <w:top w:val="none" w:sz="0" w:space="0" w:color="auto"/>
            <w:left w:val="none" w:sz="0" w:space="0" w:color="auto"/>
            <w:bottom w:val="none" w:sz="0" w:space="0" w:color="auto"/>
            <w:right w:val="none" w:sz="0" w:space="0" w:color="auto"/>
          </w:divBdr>
        </w:div>
        <w:div w:id="1155532999">
          <w:marLeft w:val="0"/>
          <w:marRight w:val="0"/>
          <w:marTop w:val="0"/>
          <w:marBottom w:val="0"/>
          <w:divBdr>
            <w:top w:val="none" w:sz="0" w:space="0" w:color="auto"/>
            <w:left w:val="none" w:sz="0" w:space="0" w:color="auto"/>
            <w:bottom w:val="none" w:sz="0" w:space="0" w:color="auto"/>
            <w:right w:val="none" w:sz="0" w:space="0" w:color="auto"/>
          </w:divBdr>
        </w:div>
        <w:div w:id="1052770951">
          <w:marLeft w:val="0"/>
          <w:marRight w:val="0"/>
          <w:marTop w:val="0"/>
          <w:marBottom w:val="0"/>
          <w:divBdr>
            <w:top w:val="none" w:sz="0" w:space="0" w:color="auto"/>
            <w:left w:val="none" w:sz="0" w:space="0" w:color="auto"/>
            <w:bottom w:val="none" w:sz="0" w:space="0" w:color="auto"/>
            <w:right w:val="none" w:sz="0" w:space="0" w:color="auto"/>
          </w:divBdr>
        </w:div>
        <w:div w:id="1949191953">
          <w:marLeft w:val="0"/>
          <w:marRight w:val="0"/>
          <w:marTop w:val="0"/>
          <w:marBottom w:val="0"/>
          <w:divBdr>
            <w:top w:val="none" w:sz="0" w:space="0" w:color="auto"/>
            <w:left w:val="none" w:sz="0" w:space="0" w:color="auto"/>
            <w:bottom w:val="none" w:sz="0" w:space="0" w:color="auto"/>
            <w:right w:val="none" w:sz="0" w:space="0" w:color="auto"/>
          </w:divBdr>
        </w:div>
        <w:div w:id="1595477021">
          <w:marLeft w:val="0"/>
          <w:marRight w:val="0"/>
          <w:marTop w:val="0"/>
          <w:marBottom w:val="0"/>
          <w:divBdr>
            <w:top w:val="none" w:sz="0" w:space="0" w:color="auto"/>
            <w:left w:val="none" w:sz="0" w:space="0" w:color="auto"/>
            <w:bottom w:val="none" w:sz="0" w:space="0" w:color="auto"/>
            <w:right w:val="none" w:sz="0" w:space="0" w:color="auto"/>
          </w:divBdr>
        </w:div>
        <w:div w:id="1292059367">
          <w:marLeft w:val="0"/>
          <w:marRight w:val="0"/>
          <w:marTop w:val="0"/>
          <w:marBottom w:val="0"/>
          <w:divBdr>
            <w:top w:val="none" w:sz="0" w:space="0" w:color="auto"/>
            <w:left w:val="none" w:sz="0" w:space="0" w:color="auto"/>
            <w:bottom w:val="none" w:sz="0" w:space="0" w:color="auto"/>
            <w:right w:val="none" w:sz="0" w:space="0" w:color="auto"/>
          </w:divBdr>
        </w:div>
        <w:div w:id="761802661">
          <w:marLeft w:val="0"/>
          <w:marRight w:val="0"/>
          <w:marTop w:val="0"/>
          <w:marBottom w:val="0"/>
          <w:divBdr>
            <w:top w:val="none" w:sz="0" w:space="0" w:color="auto"/>
            <w:left w:val="none" w:sz="0" w:space="0" w:color="auto"/>
            <w:bottom w:val="none" w:sz="0" w:space="0" w:color="auto"/>
            <w:right w:val="none" w:sz="0" w:space="0" w:color="auto"/>
          </w:divBdr>
        </w:div>
        <w:div w:id="1731146559">
          <w:marLeft w:val="0"/>
          <w:marRight w:val="0"/>
          <w:marTop w:val="0"/>
          <w:marBottom w:val="0"/>
          <w:divBdr>
            <w:top w:val="none" w:sz="0" w:space="0" w:color="auto"/>
            <w:left w:val="none" w:sz="0" w:space="0" w:color="auto"/>
            <w:bottom w:val="none" w:sz="0" w:space="0" w:color="auto"/>
            <w:right w:val="none" w:sz="0" w:space="0" w:color="auto"/>
          </w:divBdr>
        </w:div>
        <w:div w:id="548540412">
          <w:marLeft w:val="0"/>
          <w:marRight w:val="0"/>
          <w:marTop w:val="0"/>
          <w:marBottom w:val="0"/>
          <w:divBdr>
            <w:top w:val="none" w:sz="0" w:space="0" w:color="auto"/>
            <w:left w:val="none" w:sz="0" w:space="0" w:color="auto"/>
            <w:bottom w:val="none" w:sz="0" w:space="0" w:color="auto"/>
            <w:right w:val="none" w:sz="0" w:space="0" w:color="auto"/>
          </w:divBdr>
        </w:div>
        <w:div w:id="1108701283">
          <w:marLeft w:val="0"/>
          <w:marRight w:val="0"/>
          <w:marTop w:val="0"/>
          <w:marBottom w:val="0"/>
          <w:divBdr>
            <w:top w:val="none" w:sz="0" w:space="0" w:color="auto"/>
            <w:left w:val="none" w:sz="0" w:space="0" w:color="auto"/>
            <w:bottom w:val="none" w:sz="0" w:space="0" w:color="auto"/>
            <w:right w:val="none" w:sz="0" w:space="0" w:color="auto"/>
          </w:divBdr>
        </w:div>
        <w:div w:id="779102725">
          <w:marLeft w:val="0"/>
          <w:marRight w:val="0"/>
          <w:marTop w:val="0"/>
          <w:marBottom w:val="0"/>
          <w:divBdr>
            <w:top w:val="none" w:sz="0" w:space="0" w:color="auto"/>
            <w:left w:val="none" w:sz="0" w:space="0" w:color="auto"/>
            <w:bottom w:val="none" w:sz="0" w:space="0" w:color="auto"/>
            <w:right w:val="none" w:sz="0" w:space="0" w:color="auto"/>
          </w:divBdr>
        </w:div>
        <w:div w:id="233787018">
          <w:marLeft w:val="0"/>
          <w:marRight w:val="0"/>
          <w:marTop w:val="0"/>
          <w:marBottom w:val="0"/>
          <w:divBdr>
            <w:top w:val="none" w:sz="0" w:space="0" w:color="auto"/>
            <w:left w:val="none" w:sz="0" w:space="0" w:color="auto"/>
            <w:bottom w:val="none" w:sz="0" w:space="0" w:color="auto"/>
            <w:right w:val="none" w:sz="0" w:space="0" w:color="auto"/>
          </w:divBdr>
        </w:div>
        <w:div w:id="905066458">
          <w:marLeft w:val="0"/>
          <w:marRight w:val="0"/>
          <w:marTop w:val="0"/>
          <w:marBottom w:val="0"/>
          <w:divBdr>
            <w:top w:val="none" w:sz="0" w:space="0" w:color="auto"/>
            <w:left w:val="none" w:sz="0" w:space="0" w:color="auto"/>
            <w:bottom w:val="none" w:sz="0" w:space="0" w:color="auto"/>
            <w:right w:val="none" w:sz="0" w:space="0" w:color="auto"/>
          </w:divBdr>
        </w:div>
        <w:div w:id="1280258155">
          <w:marLeft w:val="0"/>
          <w:marRight w:val="0"/>
          <w:marTop w:val="0"/>
          <w:marBottom w:val="0"/>
          <w:divBdr>
            <w:top w:val="none" w:sz="0" w:space="0" w:color="auto"/>
            <w:left w:val="none" w:sz="0" w:space="0" w:color="auto"/>
            <w:bottom w:val="none" w:sz="0" w:space="0" w:color="auto"/>
            <w:right w:val="none" w:sz="0" w:space="0" w:color="auto"/>
          </w:divBdr>
        </w:div>
        <w:div w:id="275912187">
          <w:marLeft w:val="0"/>
          <w:marRight w:val="0"/>
          <w:marTop w:val="0"/>
          <w:marBottom w:val="0"/>
          <w:divBdr>
            <w:top w:val="none" w:sz="0" w:space="0" w:color="auto"/>
            <w:left w:val="none" w:sz="0" w:space="0" w:color="auto"/>
            <w:bottom w:val="none" w:sz="0" w:space="0" w:color="auto"/>
            <w:right w:val="none" w:sz="0" w:space="0" w:color="auto"/>
          </w:divBdr>
        </w:div>
        <w:div w:id="1114666238">
          <w:marLeft w:val="0"/>
          <w:marRight w:val="0"/>
          <w:marTop w:val="0"/>
          <w:marBottom w:val="0"/>
          <w:divBdr>
            <w:top w:val="none" w:sz="0" w:space="0" w:color="auto"/>
            <w:left w:val="none" w:sz="0" w:space="0" w:color="auto"/>
            <w:bottom w:val="none" w:sz="0" w:space="0" w:color="auto"/>
            <w:right w:val="none" w:sz="0" w:space="0" w:color="auto"/>
          </w:divBdr>
        </w:div>
        <w:div w:id="1877935041">
          <w:marLeft w:val="0"/>
          <w:marRight w:val="0"/>
          <w:marTop w:val="0"/>
          <w:marBottom w:val="0"/>
          <w:divBdr>
            <w:top w:val="none" w:sz="0" w:space="0" w:color="auto"/>
            <w:left w:val="none" w:sz="0" w:space="0" w:color="auto"/>
            <w:bottom w:val="none" w:sz="0" w:space="0" w:color="auto"/>
            <w:right w:val="none" w:sz="0" w:space="0" w:color="auto"/>
          </w:divBdr>
        </w:div>
        <w:div w:id="2029678420">
          <w:marLeft w:val="0"/>
          <w:marRight w:val="0"/>
          <w:marTop w:val="0"/>
          <w:marBottom w:val="0"/>
          <w:divBdr>
            <w:top w:val="none" w:sz="0" w:space="0" w:color="auto"/>
            <w:left w:val="none" w:sz="0" w:space="0" w:color="auto"/>
            <w:bottom w:val="none" w:sz="0" w:space="0" w:color="auto"/>
            <w:right w:val="none" w:sz="0" w:space="0" w:color="auto"/>
          </w:divBdr>
        </w:div>
        <w:div w:id="374743879">
          <w:marLeft w:val="0"/>
          <w:marRight w:val="0"/>
          <w:marTop w:val="0"/>
          <w:marBottom w:val="0"/>
          <w:divBdr>
            <w:top w:val="none" w:sz="0" w:space="0" w:color="auto"/>
            <w:left w:val="none" w:sz="0" w:space="0" w:color="auto"/>
            <w:bottom w:val="none" w:sz="0" w:space="0" w:color="auto"/>
            <w:right w:val="none" w:sz="0" w:space="0" w:color="auto"/>
          </w:divBdr>
        </w:div>
        <w:div w:id="1530795570">
          <w:marLeft w:val="0"/>
          <w:marRight w:val="0"/>
          <w:marTop w:val="0"/>
          <w:marBottom w:val="0"/>
          <w:divBdr>
            <w:top w:val="none" w:sz="0" w:space="0" w:color="auto"/>
            <w:left w:val="none" w:sz="0" w:space="0" w:color="auto"/>
            <w:bottom w:val="none" w:sz="0" w:space="0" w:color="auto"/>
            <w:right w:val="none" w:sz="0" w:space="0" w:color="auto"/>
          </w:divBdr>
        </w:div>
        <w:div w:id="2056390658">
          <w:marLeft w:val="0"/>
          <w:marRight w:val="0"/>
          <w:marTop w:val="0"/>
          <w:marBottom w:val="0"/>
          <w:divBdr>
            <w:top w:val="none" w:sz="0" w:space="0" w:color="auto"/>
            <w:left w:val="none" w:sz="0" w:space="0" w:color="auto"/>
            <w:bottom w:val="none" w:sz="0" w:space="0" w:color="auto"/>
            <w:right w:val="none" w:sz="0" w:space="0" w:color="auto"/>
          </w:divBdr>
        </w:div>
        <w:div w:id="1084688022">
          <w:marLeft w:val="0"/>
          <w:marRight w:val="0"/>
          <w:marTop w:val="0"/>
          <w:marBottom w:val="0"/>
          <w:divBdr>
            <w:top w:val="none" w:sz="0" w:space="0" w:color="auto"/>
            <w:left w:val="none" w:sz="0" w:space="0" w:color="auto"/>
            <w:bottom w:val="none" w:sz="0" w:space="0" w:color="auto"/>
            <w:right w:val="none" w:sz="0" w:space="0" w:color="auto"/>
          </w:divBdr>
        </w:div>
        <w:div w:id="816605748">
          <w:marLeft w:val="0"/>
          <w:marRight w:val="0"/>
          <w:marTop w:val="0"/>
          <w:marBottom w:val="0"/>
          <w:divBdr>
            <w:top w:val="none" w:sz="0" w:space="0" w:color="auto"/>
            <w:left w:val="none" w:sz="0" w:space="0" w:color="auto"/>
            <w:bottom w:val="none" w:sz="0" w:space="0" w:color="auto"/>
            <w:right w:val="none" w:sz="0" w:space="0" w:color="auto"/>
          </w:divBdr>
        </w:div>
      </w:divsChild>
    </w:div>
    <w:div w:id="1872914415">
      <w:bodyDiv w:val="1"/>
      <w:marLeft w:val="0"/>
      <w:marRight w:val="0"/>
      <w:marTop w:val="0"/>
      <w:marBottom w:val="0"/>
      <w:divBdr>
        <w:top w:val="none" w:sz="0" w:space="0" w:color="auto"/>
        <w:left w:val="none" w:sz="0" w:space="0" w:color="auto"/>
        <w:bottom w:val="none" w:sz="0" w:space="0" w:color="auto"/>
        <w:right w:val="none" w:sz="0" w:space="0" w:color="auto"/>
      </w:divBdr>
    </w:div>
    <w:div w:id="2011134867">
      <w:bodyDiv w:val="1"/>
      <w:marLeft w:val="0"/>
      <w:marRight w:val="0"/>
      <w:marTop w:val="0"/>
      <w:marBottom w:val="0"/>
      <w:divBdr>
        <w:top w:val="none" w:sz="0" w:space="0" w:color="auto"/>
        <w:left w:val="none" w:sz="0" w:space="0" w:color="auto"/>
        <w:bottom w:val="none" w:sz="0" w:space="0" w:color="auto"/>
        <w:right w:val="none" w:sz="0" w:space="0" w:color="auto"/>
      </w:divBdr>
      <w:divsChild>
        <w:div w:id="2057847812">
          <w:marLeft w:val="0"/>
          <w:marRight w:val="0"/>
          <w:marTop w:val="0"/>
          <w:marBottom w:val="0"/>
          <w:divBdr>
            <w:top w:val="none" w:sz="0" w:space="0" w:color="auto"/>
            <w:left w:val="none" w:sz="0" w:space="0" w:color="auto"/>
            <w:bottom w:val="none" w:sz="0" w:space="0" w:color="auto"/>
            <w:right w:val="none" w:sz="0" w:space="0" w:color="auto"/>
          </w:divBdr>
        </w:div>
        <w:div w:id="1818185032">
          <w:marLeft w:val="0"/>
          <w:marRight w:val="0"/>
          <w:marTop w:val="0"/>
          <w:marBottom w:val="0"/>
          <w:divBdr>
            <w:top w:val="none" w:sz="0" w:space="0" w:color="auto"/>
            <w:left w:val="none" w:sz="0" w:space="0" w:color="auto"/>
            <w:bottom w:val="none" w:sz="0" w:space="0" w:color="auto"/>
            <w:right w:val="none" w:sz="0" w:space="0" w:color="auto"/>
          </w:divBdr>
        </w:div>
        <w:div w:id="1439368928">
          <w:marLeft w:val="0"/>
          <w:marRight w:val="0"/>
          <w:marTop w:val="0"/>
          <w:marBottom w:val="0"/>
          <w:divBdr>
            <w:top w:val="none" w:sz="0" w:space="0" w:color="auto"/>
            <w:left w:val="none" w:sz="0" w:space="0" w:color="auto"/>
            <w:bottom w:val="none" w:sz="0" w:space="0" w:color="auto"/>
            <w:right w:val="none" w:sz="0" w:space="0" w:color="auto"/>
          </w:divBdr>
        </w:div>
        <w:div w:id="1522548993">
          <w:marLeft w:val="0"/>
          <w:marRight w:val="0"/>
          <w:marTop w:val="0"/>
          <w:marBottom w:val="0"/>
          <w:divBdr>
            <w:top w:val="none" w:sz="0" w:space="0" w:color="auto"/>
            <w:left w:val="none" w:sz="0" w:space="0" w:color="auto"/>
            <w:bottom w:val="none" w:sz="0" w:space="0" w:color="auto"/>
            <w:right w:val="none" w:sz="0" w:space="0" w:color="auto"/>
          </w:divBdr>
        </w:div>
        <w:div w:id="1601059678">
          <w:marLeft w:val="0"/>
          <w:marRight w:val="0"/>
          <w:marTop w:val="0"/>
          <w:marBottom w:val="0"/>
          <w:divBdr>
            <w:top w:val="none" w:sz="0" w:space="0" w:color="auto"/>
            <w:left w:val="none" w:sz="0" w:space="0" w:color="auto"/>
            <w:bottom w:val="none" w:sz="0" w:space="0" w:color="auto"/>
            <w:right w:val="none" w:sz="0" w:space="0" w:color="auto"/>
          </w:divBdr>
        </w:div>
        <w:div w:id="445853684">
          <w:marLeft w:val="0"/>
          <w:marRight w:val="0"/>
          <w:marTop w:val="0"/>
          <w:marBottom w:val="0"/>
          <w:divBdr>
            <w:top w:val="none" w:sz="0" w:space="0" w:color="auto"/>
            <w:left w:val="none" w:sz="0" w:space="0" w:color="auto"/>
            <w:bottom w:val="none" w:sz="0" w:space="0" w:color="auto"/>
            <w:right w:val="none" w:sz="0" w:space="0" w:color="auto"/>
          </w:divBdr>
        </w:div>
        <w:div w:id="1089623008">
          <w:marLeft w:val="0"/>
          <w:marRight w:val="0"/>
          <w:marTop w:val="0"/>
          <w:marBottom w:val="0"/>
          <w:divBdr>
            <w:top w:val="none" w:sz="0" w:space="0" w:color="auto"/>
            <w:left w:val="none" w:sz="0" w:space="0" w:color="auto"/>
            <w:bottom w:val="none" w:sz="0" w:space="0" w:color="auto"/>
            <w:right w:val="none" w:sz="0" w:space="0" w:color="auto"/>
          </w:divBdr>
        </w:div>
        <w:div w:id="1613973531">
          <w:marLeft w:val="0"/>
          <w:marRight w:val="0"/>
          <w:marTop w:val="0"/>
          <w:marBottom w:val="0"/>
          <w:divBdr>
            <w:top w:val="none" w:sz="0" w:space="0" w:color="auto"/>
            <w:left w:val="none" w:sz="0" w:space="0" w:color="auto"/>
            <w:bottom w:val="none" w:sz="0" w:space="0" w:color="auto"/>
            <w:right w:val="none" w:sz="0" w:space="0" w:color="auto"/>
          </w:divBdr>
        </w:div>
        <w:div w:id="1667198896">
          <w:marLeft w:val="0"/>
          <w:marRight w:val="0"/>
          <w:marTop w:val="0"/>
          <w:marBottom w:val="0"/>
          <w:divBdr>
            <w:top w:val="none" w:sz="0" w:space="0" w:color="auto"/>
            <w:left w:val="none" w:sz="0" w:space="0" w:color="auto"/>
            <w:bottom w:val="none" w:sz="0" w:space="0" w:color="auto"/>
            <w:right w:val="none" w:sz="0" w:space="0" w:color="auto"/>
          </w:divBdr>
        </w:div>
        <w:div w:id="1579367431">
          <w:marLeft w:val="0"/>
          <w:marRight w:val="0"/>
          <w:marTop w:val="0"/>
          <w:marBottom w:val="0"/>
          <w:divBdr>
            <w:top w:val="none" w:sz="0" w:space="0" w:color="auto"/>
            <w:left w:val="none" w:sz="0" w:space="0" w:color="auto"/>
            <w:bottom w:val="none" w:sz="0" w:space="0" w:color="auto"/>
            <w:right w:val="none" w:sz="0" w:space="0" w:color="auto"/>
          </w:divBdr>
        </w:div>
        <w:div w:id="1866751281">
          <w:marLeft w:val="0"/>
          <w:marRight w:val="0"/>
          <w:marTop w:val="0"/>
          <w:marBottom w:val="0"/>
          <w:divBdr>
            <w:top w:val="none" w:sz="0" w:space="0" w:color="auto"/>
            <w:left w:val="none" w:sz="0" w:space="0" w:color="auto"/>
            <w:bottom w:val="none" w:sz="0" w:space="0" w:color="auto"/>
            <w:right w:val="none" w:sz="0" w:space="0" w:color="auto"/>
          </w:divBdr>
        </w:div>
        <w:div w:id="1378353738">
          <w:marLeft w:val="0"/>
          <w:marRight w:val="0"/>
          <w:marTop w:val="0"/>
          <w:marBottom w:val="0"/>
          <w:divBdr>
            <w:top w:val="none" w:sz="0" w:space="0" w:color="auto"/>
            <w:left w:val="none" w:sz="0" w:space="0" w:color="auto"/>
            <w:bottom w:val="none" w:sz="0" w:space="0" w:color="auto"/>
            <w:right w:val="none" w:sz="0" w:space="0" w:color="auto"/>
          </w:divBdr>
        </w:div>
        <w:div w:id="1680815384">
          <w:marLeft w:val="0"/>
          <w:marRight w:val="0"/>
          <w:marTop w:val="0"/>
          <w:marBottom w:val="0"/>
          <w:divBdr>
            <w:top w:val="none" w:sz="0" w:space="0" w:color="auto"/>
            <w:left w:val="none" w:sz="0" w:space="0" w:color="auto"/>
            <w:bottom w:val="none" w:sz="0" w:space="0" w:color="auto"/>
            <w:right w:val="none" w:sz="0" w:space="0" w:color="auto"/>
          </w:divBdr>
        </w:div>
        <w:div w:id="2013409767">
          <w:marLeft w:val="0"/>
          <w:marRight w:val="0"/>
          <w:marTop w:val="0"/>
          <w:marBottom w:val="0"/>
          <w:divBdr>
            <w:top w:val="none" w:sz="0" w:space="0" w:color="auto"/>
            <w:left w:val="none" w:sz="0" w:space="0" w:color="auto"/>
            <w:bottom w:val="none" w:sz="0" w:space="0" w:color="auto"/>
            <w:right w:val="none" w:sz="0" w:space="0" w:color="auto"/>
          </w:divBdr>
        </w:div>
      </w:divsChild>
    </w:div>
    <w:div w:id="2121795627">
      <w:bodyDiv w:val="1"/>
      <w:marLeft w:val="0"/>
      <w:marRight w:val="0"/>
      <w:marTop w:val="0"/>
      <w:marBottom w:val="0"/>
      <w:divBdr>
        <w:top w:val="none" w:sz="0" w:space="0" w:color="auto"/>
        <w:left w:val="none" w:sz="0" w:space="0" w:color="auto"/>
        <w:bottom w:val="none" w:sz="0" w:space="0" w:color="auto"/>
        <w:right w:val="none" w:sz="0" w:space="0" w:color="auto"/>
      </w:divBdr>
      <w:divsChild>
        <w:div w:id="1568764076">
          <w:marLeft w:val="0"/>
          <w:marRight w:val="0"/>
          <w:marTop w:val="0"/>
          <w:marBottom w:val="0"/>
          <w:divBdr>
            <w:top w:val="none" w:sz="0" w:space="0" w:color="auto"/>
            <w:left w:val="none" w:sz="0" w:space="0" w:color="auto"/>
            <w:bottom w:val="none" w:sz="0" w:space="0" w:color="auto"/>
            <w:right w:val="none" w:sz="0" w:space="0" w:color="auto"/>
          </w:divBdr>
        </w:div>
        <w:div w:id="611665681">
          <w:marLeft w:val="0"/>
          <w:marRight w:val="0"/>
          <w:marTop w:val="0"/>
          <w:marBottom w:val="0"/>
          <w:divBdr>
            <w:top w:val="none" w:sz="0" w:space="0" w:color="auto"/>
            <w:left w:val="none" w:sz="0" w:space="0" w:color="auto"/>
            <w:bottom w:val="none" w:sz="0" w:space="0" w:color="auto"/>
            <w:right w:val="none" w:sz="0" w:space="0" w:color="auto"/>
          </w:divBdr>
        </w:div>
      </w:divsChild>
    </w:div>
    <w:div w:id="2124376908">
      <w:bodyDiv w:val="1"/>
      <w:marLeft w:val="0"/>
      <w:marRight w:val="0"/>
      <w:marTop w:val="0"/>
      <w:marBottom w:val="0"/>
      <w:divBdr>
        <w:top w:val="none" w:sz="0" w:space="0" w:color="auto"/>
        <w:left w:val="none" w:sz="0" w:space="0" w:color="auto"/>
        <w:bottom w:val="none" w:sz="0" w:space="0" w:color="auto"/>
        <w:right w:val="none" w:sz="0" w:space="0" w:color="auto"/>
      </w:divBdr>
      <w:divsChild>
        <w:div w:id="69357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ur-lex.europa.eu/legal-content/FR/AUTO/?uri=celex:32014L0023" TargetMode="External"/><Relationship Id="rId18" Type="http://schemas.openxmlformats.org/officeDocument/2006/relationships/hyperlink" Target="https://www.legifrance.gouv.fr/affichTexte.do?cidTexte=JORFTEXT000032297374" TargetMode="External"/><Relationship Id="rId26" Type="http://schemas.openxmlformats.org/officeDocument/2006/relationships/hyperlink" Target="https://icget.cget.gouv.fr/group/1797/document/explorer" TargetMode="External"/><Relationship Id="rId3" Type="http://schemas.openxmlformats.org/officeDocument/2006/relationships/styles" Target="styles.xml"/><Relationship Id="rId21" Type="http://schemas.openxmlformats.org/officeDocument/2006/relationships/hyperlink" Target="mailto:https://www.economie.gouv.fr/files/files/directions_services/daj/marches_publics/conseil_acheteurs/fiches-techniques/marches-partenariat/marches-partenariat.pdf" TargetMode="External"/><Relationship Id="rId7" Type="http://schemas.openxmlformats.org/officeDocument/2006/relationships/endnotes" Target="endnotes.xml"/><Relationship Id="rId12" Type="http://schemas.openxmlformats.org/officeDocument/2006/relationships/hyperlink" Target="http://eur-lex.europa.eu/legal-content/FR/AUTO/?uri=uriserv:240602_2" TargetMode="External"/><Relationship Id="rId17" Type="http://schemas.openxmlformats.org/officeDocument/2006/relationships/hyperlink" Target="https://www.legifrance.gouv.fr/affichTexteArticle.do;jsessionid=09D657F26BCEFADBB62E90F6D526D8FD.tpdila20v_2?cidTexte=JORFTEXT000032297352&amp;idArticle=JORFARTI000032297353&amp;dateTexte=20160327&amp;categorieLien=cid" TargetMode="External"/><Relationship Id="rId25" Type="http://schemas.openxmlformats.org/officeDocument/2006/relationships/hyperlink" Target="https://www.economie.gouv.fr/daj/commande-publique" TargetMode="External"/><Relationship Id="rId2" Type="http://schemas.openxmlformats.org/officeDocument/2006/relationships/numbering" Target="numbering.xml"/><Relationship Id="rId16" Type="http://schemas.openxmlformats.org/officeDocument/2006/relationships/hyperlink" Target="https://www.legifrance.gouv.fr/affichTexte.do?cidTexte=JORFTEXT000032297346&amp;dateTexte=&amp;categorieLien=id" TargetMode="External"/><Relationship Id="rId20" Type="http://schemas.openxmlformats.org/officeDocument/2006/relationships/hyperlink" Target="https://www.legifrance.gouv.fr/affichTexte.do?cidTexte=JORFTEXT00003229737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FR/AUTO/?uri=celex:32014L0025" TargetMode="External"/><Relationship Id="rId24" Type="http://schemas.openxmlformats.org/officeDocument/2006/relationships/hyperlink" Target="https://icget.cget.gouv.fr/group/1797/document/13954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france.gouv.fr/affichTexte.do?cidTexte=JORFTEXT000032320619&amp;dateTexte=&amp;categorieLien=id" TargetMode="External"/><Relationship Id="rId23" Type="http://schemas.openxmlformats.org/officeDocument/2006/relationships/hyperlink" Target="https://www.economie.gouv.fr/files/directions_services/daj/marches_publics/conseil_acheteurs/fiches-techniques/champs-application/pouvoirs_adjudicateurs.pdf" TargetMode="External"/><Relationship Id="rId28" Type="http://schemas.openxmlformats.org/officeDocument/2006/relationships/header" Target="header1.xml"/><Relationship Id="rId10" Type="http://schemas.openxmlformats.org/officeDocument/2006/relationships/hyperlink" Target="http://eur-lex.europa.eu/legal-content/FR/AUTO/?uri=uriserv:180203_1" TargetMode="External"/><Relationship Id="rId19" Type="http://schemas.openxmlformats.org/officeDocument/2006/relationships/hyperlink" Target="https://www.legifrance.gouv.fr/affichTexte.do?cidTexte=JORFTEXT00003229735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legal-content/FR/AUTO/?uri=celex:32014L0024" TargetMode="External"/><Relationship Id="rId14" Type="http://schemas.openxmlformats.org/officeDocument/2006/relationships/hyperlink" Target="http://eur-lex.europa.eu/legal-content/FR/AUTO/?uri=uriserv:240602_1" TargetMode="External"/><Relationship Id="rId22" Type="http://schemas.openxmlformats.org/officeDocument/2006/relationships/hyperlink" Target="http://curia.europa.eu/juris/showPdf.jsf?text=&amp;docid=43583&amp;pageIndex=0&amp;doclang=fr&amp;mode=doc&amp;dir=&amp;occ=first&amp;part=1&amp;cid=259425" TargetMode="External"/><Relationship Id="rId27" Type="http://schemas.openxmlformats.org/officeDocument/2006/relationships/hyperlink" Target="https://icget.cget.gouv.fr/group/1797/document/140905"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ools/espd?lang=fr" TargetMode="External"/><Relationship Id="rId13" Type="http://schemas.openxmlformats.org/officeDocument/2006/relationships/hyperlink" Target="http://ec.europa.eu/regional_policy/sources/docgener/informat/2014/guidance_public_proc_fr.pdf" TargetMode="External"/><Relationship Id="rId3" Type="http://schemas.openxmlformats.org/officeDocument/2006/relationships/hyperlink" Target="https://www.economie.gouv.fr/daj/allotissement-et-contrats-globaux-2016" TargetMode="External"/><Relationship Id="rId7" Type="http://schemas.openxmlformats.org/officeDocument/2006/relationships/hyperlink" Target="http://simap.ted.europa.eu/" TargetMode="External"/><Relationship Id="rId12" Type="http://schemas.openxmlformats.org/officeDocument/2006/relationships/hyperlink" Target="http://ec.europa.eu/regional_policy/sources/docgener/informat/2014/guidance_public_proc_fr.pdf" TargetMode="External"/><Relationship Id="rId2" Type="http://schemas.openxmlformats.org/officeDocument/2006/relationships/hyperlink" Target="http://ec.europa.eu/regional_policy/sources/docgener/informat/2014/guidance_public_proc_fr.pdf" TargetMode="External"/><Relationship Id="rId1" Type="http://schemas.openxmlformats.org/officeDocument/2006/relationships/hyperlink" Target="http://ec.europa.eu/regional_policy/sources/docoffic/cocof/2013/cocof_13_9527_fr.pdf" TargetMode="External"/><Relationship Id="rId6" Type="http://schemas.openxmlformats.org/officeDocument/2006/relationships/hyperlink" Target="http://www.economie.gouv.fr/files/files/directions_services/daj/marches_publics/conseil_acheteurs/tableaux/ct-publicite-2016.pdf" TargetMode="External"/><Relationship Id="rId11" Type="http://schemas.openxmlformats.org/officeDocument/2006/relationships/hyperlink" Target="http://ec.europa.eu/regional_policy/sources/docgener/informat/2014/guidance_public_proc_fr.pdf" TargetMode="External"/><Relationship Id="rId5" Type="http://schemas.openxmlformats.org/officeDocument/2006/relationships/hyperlink" Target="http://www.economie.gouv.fr/files/files/directions_services/daj/marches_publics/conseil_acheteurs/tableaux/etat-publicite-2016.pdf" TargetMode="External"/><Relationship Id="rId15" Type="http://schemas.openxmlformats.org/officeDocument/2006/relationships/hyperlink" Target="mailto:https://icget.cget.gouv.fr/group/1797/document/145425" TargetMode="External"/><Relationship Id="rId10" Type="http://schemas.openxmlformats.org/officeDocument/2006/relationships/hyperlink" Target="http://ec.europa.eu/regional_policy/sources/docgener/informat/2014/guidance_public_proc_fr.pdf" TargetMode="External"/><Relationship Id="rId4" Type="http://schemas.openxmlformats.org/officeDocument/2006/relationships/hyperlink" Target="http://ec.europa.eu/regional_policy/sources/docgener/informat/2014/guidance_public_proc_fr.pdf" TargetMode="External"/><Relationship Id="rId9" Type="http://schemas.openxmlformats.org/officeDocument/2006/relationships/hyperlink" Target="https://www.economie.gouv.fr/files/files/directions_services/daj/marches_publics/conseil_acheteurs/fiches-techniques/mise-en-oeuvre-procedure/achats-moins-25-000-euros-2016.pdf" TargetMode="External"/><Relationship Id="rId14" Type="http://schemas.openxmlformats.org/officeDocument/2006/relationships/hyperlink" Target="http://ec.europa.eu/regional_policy/sources/docgener/informat/2014/guidance_public_proc_f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3AAC4-4FCE-4BAA-9750-3E83246E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8196</Words>
  <Characters>45078</Characters>
  <Application>Microsoft Office Word</Application>
  <DocSecurity>0</DocSecurity>
  <Lines>375</Lines>
  <Paragraphs>106</Paragraphs>
  <ScaleCrop>false</ScaleCrop>
  <HeadingPairs>
    <vt:vector size="2" baseType="variant">
      <vt:variant>
        <vt:lpstr>Titre</vt:lpstr>
      </vt:variant>
      <vt:variant>
        <vt:i4>1</vt:i4>
      </vt:variant>
    </vt:vector>
  </HeadingPairs>
  <TitlesOfParts>
    <vt:vector size="1" baseType="lpstr">
      <vt:lpstr/>
    </vt:vector>
  </TitlesOfParts>
  <Company>Datar</Company>
  <LinksUpToDate>false</LinksUpToDate>
  <CharactersWithSpaces>53168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CHAIGNON Sandra</dc:creator>
  <cp:lastModifiedBy>VALENTINI Maria Rosaria</cp:lastModifiedBy>
  <cp:revision>2</cp:revision>
  <cp:lastPrinted>2020-02-24T16:48:00Z</cp:lastPrinted>
  <dcterms:created xsi:type="dcterms:W3CDTF">2020-06-26T15:20:00Z</dcterms:created>
  <dcterms:modified xsi:type="dcterms:W3CDTF">2020-06-26T15:20:00Z</dcterms:modified>
</cp:coreProperties>
</file>